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06" w:rsidRPr="00A05A8A" w:rsidRDefault="00614306" w:rsidP="00614306">
      <w:pPr>
        <w:spacing w:after="120"/>
        <w:rPr>
          <w:b/>
          <w:sz w:val="28"/>
          <w:szCs w:val="28"/>
        </w:rPr>
      </w:pPr>
      <w:r>
        <w:rPr>
          <w:b/>
          <w:sz w:val="28"/>
          <w:szCs w:val="28"/>
        </w:rPr>
        <w:t>Outcomes of all audit work undertaken under the internal audit plan for 2019/20</w:t>
      </w:r>
    </w:p>
    <w:tbl>
      <w:tblPr>
        <w:tblW w:w="211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402"/>
        <w:gridCol w:w="4394"/>
        <w:gridCol w:w="851"/>
        <w:gridCol w:w="5812"/>
        <w:gridCol w:w="1559"/>
        <w:gridCol w:w="1134"/>
        <w:gridCol w:w="1559"/>
      </w:tblGrid>
      <w:tr w:rsidR="009C49B5" w:rsidTr="00614306">
        <w:trPr>
          <w:trHeight w:val="315"/>
          <w:tblHeader/>
        </w:trPr>
        <w:tc>
          <w:tcPr>
            <w:tcW w:w="2410" w:type="dxa"/>
            <w:tcBorders>
              <w:bottom w:val="single" w:sz="4" w:space="0" w:color="auto"/>
            </w:tcBorders>
            <w:shd w:val="clear" w:color="auto" w:fill="D9D9D9" w:themeFill="background1" w:themeFillShade="D9"/>
            <w:noWrap/>
          </w:tcPr>
          <w:p w:rsidR="00614306" w:rsidRPr="00534482" w:rsidRDefault="00614306" w:rsidP="00614306">
            <w:pPr>
              <w:spacing w:before="60" w:after="60"/>
              <w:rPr>
                <w:rFonts w:cs="Arial"/>
                <w:b/>
                <w:bCs/>
                <w:color w:val="000000"/>
              </w:rPr>
            </w:pPr>
            <w:r w:rsidRPr="00534482">
              <w:rPr>
                <w:rFonts w:cs="Arial"/>
                <w:b/>
                <w:bCs/>
                <w:color w:val="000000"/>
              </w:rPr>
              <w:t>Service area</w:t>
            </w:r>
          </w:p>
        </w:tc>
        <w:tc>
          <w:tcPr>
            <w:tcW w:w="3402" w:type="dxa"/>
            <w:tcBorders>
              <w:bottom w:val="single" w:sz="4" w:space="0" w:color="auto"/>
            </w:tcBorders>
            <w:shd w:val="clear" w:color="auto" w:fill="D9D9D9" w:themeFill="background1" w:themeFillShade="D9"/>
          </w:tcPr>
          <w:p w:rsidR="00614306" w:rsidRPr="00534482" w:rsidRDefault="00614306" w:rsidP="00614306">
            <w:pPr>
              <w:spacing w:before="60" w:after="60"/>
              <w:rPr>
                <w:rFonts w:cs="Arial"/>
                <w:b/>
                <w:bCs/>
                <w:color w:val="000000"/>
              </w:rPr>
            </w:pPr>
            <w:r w:rsidRPr="00534482">
              <w:rPr>
                <w:rFonts w:cs="Arial"/>
                <w:b/>
                <w:bCs/>
                <w:color w:val="000000"/>
              </w:rPr>
              <w:t>Operational area of activity</w:t>
            </w:r>
          </w:p>
        </w:tc>
        <w:tc>
          <w:tcPr>
            <w:tcW w:w="4394" w:type="dxa"/>
            <w:tcBorders>
              <w:bottom w:val="single" w:sz="4" w:space="0" w:color="auto"/>
            </w:tcBorders>
            <w:shd w:val="clear" w:color="auto" w:fill="D9D9D9" w:themeFill="background1" w:themeFillShade="D9"/>
            <w:noWrap/>
          </w:tcPr>
          <w:p w:rsidR="00614306" w:rsidRPr="00534482" w:rsidRDefault="00614306" w:rsidP="00614306">
            <w:pPr>
              <w:spacing w:before="60" w:after="60"/>
              <w:rPr>
                <w:rFonts w:cs="Arial"/>
                <w:b/>
                <w:bCs/>
                <w:color w:val="000000"/>
              </w:rPr>
            </w:pPr>
            <w:r w:rsidRPr="00534482">
              <w:rPr>
                <w:rFonts w:cs="Arial"/>
                <w:b/>
                <w:bCs/>
                <w:color w:val="000000"/>
              </w:rPr>
              <w:t xml:space="preserve">Audit </w:t>
            </w:r>
            <w:r w:rsidRPr="00896910">
              <w:rPr>
                <w:rFonts w:cs="Arial"/>
                <w:b/>
                <w:bCs/>
              </w:rPr>
              <w:t xml:space="preserve">work </w:t>
            </w:r>
            <w:r w:rsidRPr="00896910">
              <w:rPr>
                <w:rFonts w:cs="Arial"/>
                <w:bCs/>
              </w:rPr>
              <w:t>(and reference number)</w:t>
            </w:r>
          </w:p>
        </w:tc>
        <w:tc>
          <w:tcPr>
            <w:tcW w:w="851" w:type="dxa"/>
            <w:tcBorders>
              <w:bottom w:val="single" w:sz="4" w:space="0" w:color="auto"/>
            </w:tcBorders>
            <w:shd w:val="clear" w:color="auto" w:fill="D9D9D9" w:themeFill="background1" w:themeFillShade="D9"/>
            <w:tcMar>
              <w:right w:w="79" w:type="dxa"/>
            </w:tcMar>
          </w:tcPr>
          <w:p w:rsidR="00614306" w:rsidRPr="00534482" w:rsidRDefault="00614306" w:rsidP="00614306">
            <w:pPr>
              <w:spacing w:before="60" w:after="60"/>
              <w:rPr>
                <w:rFonts w:cs="Arial"/>
                <w:b/>
                <w:bCs/>
                <w:color w:val="000000"/>
              </w:rPr>
            </w:pPr>
            <w:r>
              <w:rPr>
                <w:rFonts w:cs="Arial"/>
                <w:b/>
                <w:bCs/>
                <w:color w:val="000000"/>
              </w:rPr>
              <w:t>Type</w:t>
            </w:r>
            <w:r>
              <w:rPr>
                <w:rStyle w:val="FootnoteReference"/>
                <w:rFonts w:cs="Arial"/>
                <w:b/>
                <w:bCs/>
                <w:color w:val="000000"/>
              </w:rPr>
              <w:footnoteReference w:id="1"/>
            </w:r>
          </w:p>
        </w:tc>
        <w:tc>
          <w:tcPr>
            <w:tcW w:w="5812" w:type="dxa"/>
            <w:tcBorders>
              <w:bottom w:val="single" w:sz="4" w:space="0" w:color="auto"/>
            </w:tcBorders>
            <w:shd w:val="clear" w:color="auto" w:fill="D9D9D9" w:themeFill="background1" w:themeFillShade="D9"/>
          </w:tcPr>
          <w:p w:rsidR="00614306" w:rsidRPr="00534482" w:rsidRDefault="00614306" w:rsidP="00614306">
            <w:pPr>
              <w:spacing w:before="60" w:after="60"/>
              <w:rPr>
                <w:rFonts w:cs="Arial"/>
                <w:b/>
                <w:bCs/>
                <w:color w:val="000000"/>
              </w:rPr>
            </w:pPr>
            <w:r>
              <w:rPr>
                <w:rFonts w:cs="Arial"/>
                <w:b/>
                <w:bCs/>
                <w:color w:val="000000"/>
              </w:rPr>
              <w:t>Summary of findings</w:t>
            </w:r>
          </w:p>
        </w:tc>
        <w:tc>
          <w:tcPr>
            <w:tcW w:w="1559" w:type="dxa"/>
            <w:tcBorders>
              <w:bottom w:val="single" w:sz="4" w:space="0" w:color="auto"/>
            </w:tcBorders>
            <w:shd w:val="clear" w:color="auto" w:fill="D9D9D9" w:themeFill="background1" w:themeFillShade="D9"/>
          </w:tcPr>
          <w:p w:rsidR="00614306" w:rsidRDefault="00614306" w:rsidP="00614306">
            <w:pPr>
              <w:spacing w:before="60" w:after="60"/>
              <w:rPr>
                <w:rFonts w:cs="Arial"/>
                <w:b/>
                <w:bCs/>
                <w:color w:val="000000"/>
              </w:rPr>
            </w:pPr>
            <w:r>
              <w:rPr>
                <w:rFonts w:cs="Arial"/>
                <w:b/>
                <w:bCs/>
              </w:rPr>
              <w:t>C</w:t>
            </w:r>
            <w:r w:rsidRPr="00896910">
              <w:rPr>
                <w:rFonts w:cs="Arial"/>
                <w:b/>
                <w:bCs/>
              </w:rPr>
              <w:t>ompleted</w:t>
            </w:r>
          </w:p>
        </w:tc>
        <w:tc>
          <w:tcPr>
            <w:tcW w:w="1134" w:type="dxa"/>
            <w:tcBorders>
              <w:bottom w:val="single" w:sz="4" w:space="0" w:color="auto"/>
            </w:tcBorders>
            <w:shd w:val="clear" w:color="auto" w:fill="D9D9D9" w:themeFill="background1" w:themeFillShade="D9"/>
          </w:tcPr>
          <w:p w:rsidR="00614306" w:rsidRDefault="00614306" w:rsidP="00614306">
            <w:pPr>
              <w:spacing w:before="60" w:after="60"/>
              <w:jc w:val="center"/>
              <w:rPr>
                <w:rFonts w:cs="Arial"/>
                <w:b/>
                <w:bCs/>
                <w:color w:val="000000"/>
              </w:rPr>
            </w:pPr>
            <w:r>
              <w:rPr>
                <w:rFonts w:cs="Arial"/>
                <w:b/>
                <w:bCs/>
                <w:color w:val="000000"/>
              </w:rPr>
              <w:t>Agreed</w:t>
            </w:r>
            <w:r>
              <w:rPr>
                <w:rStyle w:val="FootnoteReference"/>
                <w:rFonts w:cs="Arial"/>
                <w:b/>
                <w:bCs/>
                <w:color w:val="000000"/>
              </w:rPr>
              <w:footnoteReference w:id="2"/>
            </w:r>
          </w:p>
        </w:tc>
        <w:tc>
          <w:tcPr>
            <w:tcW w:w="1559" w:type="dxa"/>
            <w:tcBorders>
              <w:bottom w:val="single" w:sz="4" w:space="0" w:color="auto"/>
            </w:tcBorders>
            <w:shd w:val="clear" w:color="auto" w:fill="D9D9D9" w:themeFill="background1" w:themeFillShade="D9"/>
          </w:tcPr>
          <w:p w:rsidR="00614306" w:rsidRDefault="00614306" w:rsidP="00614306">
            <w:pPr>
              <w:spacing w:before="60" w:after="60"/>
              <w:rPr>
                <w:rFonts w:cs="Arial"/>
                <w:b/>
                <w:bCs/>
                <w:color w:val="000000"/>
              </w:rPr>
            </w:pPr>
            <w:r>
              <w:rPr>
                <w:rFonts w:cs="Arial"/>
                <w:b/>
                <w:bCs/>
                <w:color w:val="000000"/>
              </w:rPr>
              <w:t>Assurance</w:t>
            </w:r>
          </w:p>
        </w:tc>
      </w:tr>
      <w:tr w:rsidR="009C49B5" w:rsidTr="00614306">
        <w:trPr>
          <w:trHeight w:val="63"/>
          <w:tblHeader/>
        </w:trPr>
        <w:tc>
          <w:tcPr>
            <w:tcW w:w="10206" w:type="dxa"/>
            <w:gridSpan w:val="3"/>
            <w:tcBorders>
              <w:top w:val="single" w:sz="4" w:space="0" w:color="auto"/>
              <w:bottom w:val="single" w:sz="4" w:space="0" w:color="auto"/>
              <w:right w:val="nil"/>
            </w:tcBorders>
            <w:shd w:val="clear" w:color="auto" w:fill="auto"/>
            <w:noWrap/>
          </w:tcPr>
          <w:p w:rsidR="00614306" w:rsidRPr="00A14D0F" w:rsidRDefault="00614306" w:rsidP="00614306">
            <w:pPr>
              <w:spacing w:after="100" w:afterAutospacing="1"/>
              <w:rPr>
                <w:rFonts w:cs="Arial"/>
                <w:b/>
                <w:bCs/>
                <w:color w:val="000000"/>
                <w:sz w:val="6"/>
                <w:szCs w:val="6"/>
              </w:rPr>
            </w:pPr>
          </w:p>
        </w:tc>
        <w:tc>
          <w:tcPr>
            <w:tcW w:w="851" w:type="dxa"/>
            <w:tcBorders>
              <w:top w:val="single" w:sz="4" w:space="0" w:color="auto"/>
              <w:left w:val="nil"/>
              <w:bottom w:val="single" w:sz="4" w:space="0" w:color="auto"/>
              <w:right w:val="nil"/>
            </w:tcBorders>
            <w:shd w:val="clear" w:color="auto" w:fill="auto"/>
            <w:tcMar>
              <w:right w:w="108" w:type="dxa"/>
            </w:tcMar>
          </w:tcPr>
          <w:p w:rsidR="00614306" w:rsidRPr="00A14D0F" w:rsidRDefault="00614306" w:rsidP="00614306">
            <w:pPr>
              <w:spacing w:after="100" w:afterAutospacing="1"/>
              <w:jc w:val="center"/>
              <w:rPr>
                <w:rFonts w:cs="Arial"/>
                <w:color w:val="000000"/>
                <w:sz w:val="6"/>
                <w:szCs w:val="6"/>
              </w:rPr>
            </w:pPr>
          </w:p>
        </w:tc>
        <w:tc>
          <w:tcPr>
            <w:tcW w:w="5812" w:type="dxa"/>
            <w:tcBorders>
              <w:top w:val="single" w:sz="4" w:space="0" w:color="auto"/>
              <w:left w:val="nil"/>
              <w:bottom w:val="single" w:sz="4" w:space="0" w:color="auto"/>
              <w:right w:val="nil"/>
            </w:tcBorders>
          </w:tcPr>
          <w:p w:rsidR="00614306" w:rsidRPr="00A14D0F" w:rsidRDefault="00614306" w:rsidP="00614306">
            <w:pPr>
              <w:spacing w:after="100" w:afterAutospacing="1"/>
              <w:rPr>
                <w:rFonts w:cs="Arial"/>
                <w:color w:val="000000"/>
                <w:sz w:val="6"/>
                <w:szCs w:val="6"/>
              </w:rPr>
            </w:pPr>
          </w:p>
        </w:tc>
        <w:tc>
          <w:tcPr>
            <w:tcW w:w="1559" w:type="dxa"/>
            <w:tcBorders>
              <w:top w:val="single" w:sz="4" w:space="0" w:color="auto"/>
              <w:left w:val="nil"/>
              <w:bottom w:val="single" w:sz="4" w:space="0" w:color="auto"/>
              <w:right w:val="nil"/>
            </w:tcBorders>
          </w:tcPr>
          <w:p w:rsidR="00614306" w:rsidRPr="00A14D0F" w:rsidRDefault="00614306" w:rsidP="00614306">
            <w:pPr>
              <w:spacing w:after="100" w:afterAutospacing="1"/>
              <w:rPr>
                <w:rFonts w:cs="Arial"/>
                <w:color w:val="000000"/>
                <w:sz w:val="6"/>
                <w:szCs w:val="6"/>
              </w:rPr>
            </w:pPr>
          </w:p>
        </w:tc>
        <w:tc>
          <w:tcPr>
            <w:tcW w:w="1134" w:type="dxa"/>
            <w:tcBorders>
              <w:top w:val="single" w:sz="4" w:space="0" w:color="auto"/>
              <w:left w:val="nil"/>
              <w:bottom w:val="single" w:sz="4" w:space="0" w:color="auto"/>
              <w:right w:val="nil"/>
            </w:tcBorders>
          </w:tcPr>
          <w:p w:rsidR="00614306" w:rsidRPr="00A14D0F" w:rsidRDefault="00614306" w:rsidP="00614306">
            <w:pPr>
              <w:spacing w:after="100" w:afterAutospacing="1"/>
              <w:jc w:val="center"/>
              <w:rPr>
                <w:rFonts w:cs="Arial"/>
                <w:color w:val="000000"/>
                <w:sz w:val="6"/>
                <w:szCs w:val="6"/>
              </w:rPr>
            </w:pPr>
          </w:p>
        </w:tc>
        <w:tc>
          <w:tcPr>
            <w:tcW w:w="1559" w:type="dxa"/>
            <w:tcBorders>
              <w:top w:val="single" w:sz="4" w:space="0" w:color="auto"/>
              <w:left w:val="nil"/>
              <w:bottom w:val="single" w:sz="4" w:space="0" w:color="auto"/>
            </w:tcBorders>
          </w:tcPr>
          <w:p w:rsidR="00614306" w:rsidRPr="00A14D0F" w:rsidRDefault="00614306" w:rsidP="00614306">
            <w:pPr>
              <w:spacing w:after="100" w:afterAutospacing="1"/>
              <w:rPr>
                <w:rFonts w:cs="Arial"/>
                <w:color w:val="000000"/>
                <w:sz w:val="6"/>
                <w:szCs w:val="6"/>
              </w:rPr>
            </w:pPr>
          </w:p>
        </w:tc>
      </w:tr>
      <w:tr w:rsidR="009C49B5" w:rsidTr="00614306">
        <w:trPr>
          <w:trHeight w:val="315"/>
        </w:trPr>
        <w:tc>
          <w:tcPr>
            <w:tcW w:w="10206" w:type="dxa"/>
            <w:gridSpan w:val="3"/>
            <w:tcBorders>
              <w:top w:val="single" w:sz="4" w:space="0" w:color="auto"/>
              <w:bottom w:val="single" w:sz="4" w:space="0" w:color="auto"/>
              <w:right w:val="nil"/>
            </w:tcBorders>
            <w:shd w:val="clear" w:color="auto" w:fill="F2F2F2" w:themeFill="background1" w:themeFillShade="F2"/>
            <w:noWrap/>
            <w:hideMark/>
          </w:tcPr>
          <w:p w:rsidR="00614306" w:rsidRPr="00534482" w:rsidRDefault="00614306" w:rsidP="00614306">
            <w:pPr>
              <w:spacing w:before="60" w:after="60"/>
              <w:rPr>
                <w:rFonts w:cs="Arial"/>
                <w:color w:val="000000"/>
              </w:rPr>
            </w:pPr>
            <w:r>
              <w:rPr>
                <w:rFonts w:cs="Arial"/>
                <w:b/>
                <w:bCs/>
                <w:color w:val="000000"/>
              </w:rPr>
              <w:t xml:space="preserve">Control framework: </w:t>
            </w:r>
            <w:r w:rsidRPr="00534482">
              <w:rPr>
                <w:rFonts w:cs="Arial"/>
                <w:b/>
                <w:bCs/>
                <w:color w:val="000000"/>
              </w:rPr>
              <w:t>Governance and democratic oversight</w:t>
            </w:r>
          </w:p>
        </w:tc>
        <w:tc>
          <w:tcPr>
            <w:tcW w:w="851" w:type="dxa"/>
            <w:tcBorders>
              <w:top w:val="single" w:sz="4" w:space="0" w:color="auto"/>
              <w:left w:val="nil"/>
              <w:bottom w:val="single" w:sz="4" w:space="0" w:color="auto"/>
              <w:right w:val="nil"/>
            </w:tcBorders>
            <w:shd w:val="clear" w:color="auto" w:fill="F2F2F2" w:themeFill="background1" w:themeFillShade="F2"/>
            <w:tcMar>
              <w:right w:w="108" w:type="dxa"/>
            </w:tcMar>
          </w:tcPr>
          <w:p w:rsidR="00614306" w:rsidRPr="00534482" w:rsidRDefault="00614306" w:rsidP="00614306">
            <w:pPr>
              <w:spacing w:before="60" w:after="60"/>
              <w:jc w:val="center"/>
              <w:rPr>
                <w:rFonts w:cs="Arial"/>
                <w:color w:val="000000"/>
              </w:rPr>
            </w:pPr>
          </w:p>
        </w:tc>
        <w:tc>
          <w:tcPr>
            <w:tcW w:w="5812" w:type="dxa"/>
            <w:tcBorders>
              <w:top w:val="single" w:sz="4" w:space="0" w:color="auto"/>
              <w:left w:val="nil"/>
              <w:bottom w:val="single" w:sz="4" w:space="0" w:color="auto"/>
              <w:right w:val="nil"/>
            </w:tcBorders>
            <w:shd w:val="clear" w:color="auto" w:fill="F2F2F2" w:themeFill="background1" w:themeFillShade="F2"/>
          </w:tcPr>
          <w:p w:rsidR="00614306" w:rsidRPr="00534482" w:rsidRDefault="00614306" w:rsidP="00614306">
            <w:pPr>
              <w:spacing w:before="60" w:after="60"/>
              <w:rPr>
                <w:rFonts w:cs="Arial"/>
                <w:color w:val="000000"/>
              </w:rPr>
            </w:pPr>
          </w:p>
        </w:tc>
        <w:tc>
          <w:tcPr>
            <w:tcW w:w="1559" w:type="dxa"/>
            <w:tcBorders>
              <w:top w:val="single" w:sz="4" w:space="0" w:color="auto"/>
              <w:left w:val="nil"/>
              <w:bottom w:val="single" w:sz="4" w:space="0" w:color="auto"/>
              <w:right w:val="nil"/>
            </w:tcBorders>
            <w:shd w:val="clear" w:color="auto" w:fill="F2F2F2" w:themeFill="background1" w:themeFillShade="F2"/>
          </w:tcPr>
          <w:p w:rsidR="00614306" w:rsidRPr="00534482" w:rsidRDefault="00614306" w:rsidP="00614306">
            <w:pPr>
              <w:spacing w:before="60" w:after="60"/>
              <w:rPr>
                <w:rFonts w:cs="Arial"/>
                <w:color w:val="000000"/>
              </w:rPr>
            </w:pPr>
          </w:p>
        </w:tc>
        <w:tc>
          <w:tcPr>
            <w:tcW w:w="1134" w:type="dxa"/>
            <w:tcBorders>
              <w:top w:val="single" w:sz="4" w:space="0" w:color="auto"/>
              <w:left w:val="nil"/>
              <w:bottom w:val="single" w:sz="4" w:space="0" w:color="auto"/>
              <w:right w:val="nil"/>
            </w:tcBorders>
            <w:shd w:val="clear" w:color="auto" w:fill="F2F2F2" w:themeFill="background1" w:themeFillShade="F2"/>
          </w:tcPr>
          <w:p w:rsidR="00614306" w:rsidRPr="00534482" w:rsidRDefault="00614306" w:rsidP="00614306">
            <w:pPr>
              <w:spacing w:before="60" w:after="60"/>
              <w:jc w:val="center"/>
              <w:rPr>
                <w:rFonts w:cs="Arial"/>
                <w:color w:val="000000"/>
              </w:rPr>
            </w:pPr>
          </w:p>
        </w:tc>
        <w:tc>
          <w:tcPr>
            <w:tcW w:w="1559" w:type="dxa"/>
            <w:tcBorders>
              <w:top w:val="single" w:sz="4" w:space="0" w:color="auto"/>
              <w:left w:val="nil"/>
              <w:bottom w:val="single" w:sz="4" w:space="0" w:color="auto"/>
            </w:tcBorders>
            <w:shd w:val="clear" w:color="auto" w:fill="F2F2F2" w:themeFill="background1" w:themeFillShade="F2"/>
          </w:tcPr>
          <w:p w:rsidR="00614306" w:rsidRPr="00534482" w:rsidRDefault="00614306" w:rsidP="00614306">
            <w:pPr>
              <w:spacing w:before="60" w:after="60"/>
              <w:rPr>
                <w:rFonts w:cs="Arial"/>
                <w:color w:val="000000"/>
              </w:rPr>
            </w:pP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Pr="005601A5" w:rsidRDefault="00614306" w:rsidP="00614306">
            <w:pPr>
              <w:spacing w:before="40" w:after="40"/>
              <w:rPr>
                <w:rFonts w:cs="Arial"/>
              </w:rPr>
            </w:pPr>
            <w:r w:rsidRPr="005601A5">
              <w:rPr>
                <w:rFonts w:cs="Arial"/>
              </w:rPr>
              <w:t>Pension Fund</w:t>
            </w:r>
          </w:p>
        </w:tc>
        <w:tc>
          <w:tcPr>
            <w:tcW w:w="3402" w:type="dxa"/>
            <w:tcBorders>
              <w:top w:val="single" w:sz="4" w:space="0" w:color="auto"/>
              <w:bottom w:val="single" w:sz="4" w:space="0" w:color="auto"/>
            </w:tcBorders>
          </w:tcPr>
          <w:p w:rsidR="00614306" w:rsidRPr="005601A5" w:rsidRDefault="00614306" w:rsidP="00614306">
            <w:pPr>
              <w:spacing w:before="40" w:after="40"/>
              <w:rPr>
                <w:rFonts w:cs="Arial"/>
              </w:rPr>
            </w:pPr>
            <w:r w:rsidRPr="005601A5">
              <w:rPr>
                <w:rFonts w:cs="Arial"/>
              </w:rPr>
              <w:t xml:space="preserve">Oversight of Local Pensions Partnership </w:t>
            </w:r>
            <w:r w:rsidR="00F948F5">
              <w:rPr>
                <w:rFonts w:cs="Arial"/>
              </w:rPr>
              <w:t xml:space="preserve">(LPP) </w:t>
            </w:r>
            <w:r w:rsidRPr="005601A5">
              <w:rPr>
                <w:rFonts w:cs="Arial"/>
              </w:rPr>
              <w:t>Ltd</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sidRPr="005601A5">
              <w:rPr>
                <w:rFonts w:cs="Arial"/>
                <w:color w:val="000000"/>
              </w:rPr>
              <w:t>Review of the way the council monitors and, if necessary, directs the work of LPP to ensure it best serves the interests of the Lancashire Pension Fund.</w:t>
            </w:r>
            <w:r>
              <w:rPr>
                <w:rFonts w:cs="Arial"/>
                <w:color w:val="000000"/>
              </w:rPr>
              <w:t xml:space="preserve"> (2019-87)</w:t>
            </w:r>
          </w:p>
        </w:tc>
        <w:tc>
          <w:tcPr>
            <w:tcW w:w="851" w:type="dxa"/>
            <w:tcBorders>
              <w:top w:val="single" w:sz="4" w:space="0" w:color="auto"/>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tcPr>
          <w:p w:rsidR="00614306" w:rsidRPr="002376A4" w:rsidRDefault="00614306" w:rsidP="00614306">
            <w:pPr>
              <w:spacing w:before="40" w:after="40"/>
              <w:rPr>
                <w:rFonts w:cs="Arial"/>
              </w:rPr>
            </w:pPr>
            <w:r w:rsidRPr="002376A4">
              <w:rPr>
                <w:rFonts w:cs="Arial"/>
              </w:rPr>
              <w:t>The council's oversight of LPP in its roles as shareholder and as client of LPP's administration and investment services is robust and appropriate. The right bodies and individuals are involved at the right times to ensure that LPP's work is understood and any concerns about its performance are properly addressed.</w:t>
            </w:r>
          </w:p>
        </w:tc>
        <w:tc>
          <w:tcPr>
            <w:tcW w:w="1559" w:type="dxa"/>
            <w:tcBorders>
              <w:top w:val="single" w:sz="4" w:space="0" w:color="auto"/>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Pension Fund</w:t>
            </w:r>
          </w:p>
        </w:tc>
        <w:tc>
          <w:tcPr>
            <w:tcW w:w="3402" w:type="dxa"/>
            <w:tcBorders>
              <w:top w:val="single" w:sz="4" w:space="0" w:color="auto"/>
              <w:bottom w:val="single" w:sz="4" w:space="0" w:color="auto"/>
            </w:tcBorders>
          </w:tcPr>
          <w:p w:rsidR="00614306" w:rsidRDefault="00614306" w:rsidP="00614306">
            <w:pPr>
              <w:spacing w:before="40" w:after="40"/>
              <w:rPr>
                <w:rFonts w:cs="Arial"/>
                <w:color w:val="000000"/>
              </w:rPr>
            </w:pPr>
            <w:r>
              <w:rPr>
                <w:rFonts w:cs="Arial"/>
                <w:color w:val="000000"/>
              </w:rPr>
              <w:t>Obtaining and understanding the assurance provided by the Pension Fund's own internal auditors</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assurance provided by Deloitte LLP over the operation of the Pension Fund by the Local Pensions Partnership. (2019-02)</w:t>
            </w:r>
          </w:p>
        </w:tc>
        <w:tc>
          <w:tcPr>
            <w:tcW w:w="851" w:type="dxa"/>
            <w:tcBorders>
              <w:top w:val="single" w:sz="4" w:space="0" w:color="auto"/>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N/A</w:t>
            </w:r>
          </w:p>
        </w:tc>
        <w:tc>
          <w:tcPr>
            <w:tcW w:w="5812" w:type="dxa"/>
            <w:tcBorders>
              <w:top w:val="single" w:sz="4" w:space="0" w:color="auto"/>
              <w:bottom w:val="single" w:sz="4" w:space="0" w:color="auto"/>
            </w:tcBorders>
          </w:tcPr>
          <w:p w:rsidR="00614306" w:rsidRPr="002376A4" w:rsidRDefault="00614306" w:rsidP="00614306">
            <w:pPr>
              <w:spacing w:before="40" w:after="40"/>
              <w:rPr>
                <w:rFonts w:cs="Arial"/>
              </w:rPr>
            </w:pPr>
            <w:r w:rsidRPr="002376A4">
              <w:rPr>
                <w:rFonts w:cs="Arial"/>
              </w:rPr>
              <w:t>Because the scope of audit work on LPP's activities and the information available about it are both restricted, the council can take only limited assurance over LPP's work.</w:t>
            </w:r>
          </w:p>
        </w:tc>
        <w:tc>
          <w:tcPr>
            <w:tcW w:w="1559" w:type="dxa"/>
            <w:tcBorders>
              <w:top w:val="single" w:sz="4" w:space="0" w:color="auto"/>
              <w:bottom w:val="single" w:sz="4" w:space="0" w:color="auto"/>
            </w:tcBorders>
          </w:tcPr>
          <w:p w:rsidR="00614306" w:rsidRPr="00534482"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Pr="00534482"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Strategy and Performance</w:t>
            </w:r>
          </w:p>
        </w:tc>
        <w:tc>
          <w:tcPr>
            <w:tcW w:w="3402" w:type="dxa"/>
            <w:tcBorders>
              <w:top w:val="single" w:sz="4" w:space="0" w:color="auto"/>
              <w:bottom w:val="single" w:sz="4" w:space="0" w:color="auto"/>
            </w:tcBorders>
          </w:tcPr>
          <w:p w:rsidR="00614306" w:rsidRDefault="00614306" w:rsidP="00614306">
            <w:pPr>
              <w:spacing w:before="40" w:after="40"/>
              <w:rPr>
                <w:rFonts w:cs="Arial"/>
                <w:color w:val="000000"/>
              </w:rPr>
            </w:pPr>
            <w:r>
              <w:rPr>
                <w:rFonts w:cs="Arial"/>
                <w:color w:val="000000"/>
              </w:rPr>
              <w:t>Planning for the return of services from BTLS to the council</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Work to understand and support the transition. (2019-84)</w:t>
            </w:r>
          </w:p>
        </w:tc>
        <w:tc>
          <w:tcPr>
            <w:tcW w:w="851" w:type="dxa"/>
            <w:tcBorders>
              <w:top w:val="single" w:sz="4" w:space="0" w:color="auto"/>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single" w:sz="4" w:space="0" w:color="auto"/>
              <w:bottom w:val="single" w:sz="4" w:space="0" w:color="auto"/>
            </w:tcBorders>
          </w:tcPr>
          <w:p w:rsidR="00614306" w:rsidRPr="001018BC" w:rsidRDefault="00614306" w:rsidP="00614306">
            <w:pPr>
              <w:spacing w:before="40" w:after="40"/>
              <w:rPr>
                <w:rFonts w:cs="Arial"/>
                <w:b/>
                <w:color w:val="2E74B5" w:themeColor="accent1" w:themeShade="BF"/>
              </w:rPr>
            </w:pPr>
            <w:r w:rsidRPr="001018BC">
              <w:rPr>
                <w:rFonts w:cs="Arial"/>
                <w:color w:val="000000"/>
              </w:rPr>
              <w:t>Plans are being put in place to ensure that the council's objectives are met, and there is a smooth transfer of staff and services back to the council as the BTLS contract expires.</w:t>
            </w:r>
          </w:p>
        </w:tc>
        <w:tc>
          <w:tcPr>
            <w:tcW w:w="1559" w:type="dxa"/>
            <w:tcBorders>
              <w:top w:val="single" w:sz="4" w:space="0" w:color="auto"/>
              <w:bottom w:val="single" w:sz="4" w:space="0" w:color="auto"/>
            </w:tcBorders>
          </w:tcPr>
          <w:p w:rsidR="00614306" w:rsidRPr="00534482"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Pr="00534482"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Strategy and Performance</w:t>
            </w:r>
          </w:p>
        </w:tc>
        <w:tc>
          <w:tcPr>
            <w:tcW w:w="3402" w:type="dxa"/>
            <w:tcBorders>
              <w:top w:val="single" w:sz="4" w:space="0" w:color="auto"/>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Finance</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Work to understand and support the conduct of negotiations (2019-03)</w:t>
            </w:r>
          </w:p>
        </w:tc>
        <w:tc>
          <w:tcPr>
            <w:tcW w:w="851" w:type="dxa"/>
            <w:tcBorders>
              <w:top w:val="single" w:sz="4" w:space="0" w:color="auto"/>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single" w:sz="4" w:space="0" w:color="auto"/>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This audit was replaced by work to understand the transition of services back to the council.</w:t>
            </w:r>
          </w:p>
        </w:tc>
        <w:tc>
          <w:tcPr>
            <w:tcW w:w="1559" w:type="dxa"/>
            <w:tcBorders>
              <w:top w:val="single" w:sz="4" w:space="0" w:color="auto"/>
              <w:bottom w:val="single" w:sz="4" w:space="0" w:color="auto"/>
            </w:tcBorders>
            <w:shd w:val="clear" w:color="auto" w:fill="auto"/>
          </w:tcPr>
          <w:p w:rsidR="00614306" w:rsidRPr="00534482"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bottom w:val="single" w:sz="4" w:space="0" w:color="auto"/>
            </w:tcBorders>
            <w:shd w:val="clear" w:color="auto" w:fill="auto"/>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Not applicable</w:t>
            </w:r>
          </w:p>
        </w:tc>
      </w:tr>
      <w:tr w:rsidR="009C49B5" w:rsidTr="00614306">
        <w:trPr>
          <w:trHeight w:val="315"/>
        </w:trPr>
        <w:tc>
          <w:tcPr>
            <w:tcW w:w="5812" w:type="dxa"/>
            <w:gridSpan w:val="2"/>
            <w:tcBorders>
              <w:right w:val="nil"/>
            </w:tcBorders>
            <w:shd w:val="clear" w:color="auto" w:fill="F2F2F2" w:themeFill="background1" w:themeFillShade="F2"/>
            <w:noWrap/>
            <w:hideMark/>
          </w:tcPr>
          <w:p w:rsidR="00614306" w:rsidRPr="00534482" w:rsidRDefault="00614306" w:rsidP="00614306">
            <w:pPr>
              <w:spacing w:before="60" w:after="60"/>
              <w:rPr>
                <w:rFonts w:cs="Arial"/>
                <w:b/>
                <w:bCs/>
                <w:color w:val="000000"/>
              </w:rPr>
            </w:pPr>
            <w:r>
              <w:rPr>
                <w:rFonts w:cs="Arial"/>
                <w:b/>
                <w:bCs/>
                <w:color w:val="000000"/>
              </w:rPr>
              <w:t xml:space="preserve">Control framework: </w:t>
            </w:r>
            <w:r w:rsidRPr="00534482">
              <w:rPr>
                <w:rFonts w:cs="Arial"/>
                <w:b/>
                <w:bCs/>
                <w:color w:val="000000"/>
              </w:rPr>
              <w:t>Business effectiveness</w:t>
            </w:r>
          </w:p>
        </w:tc>
        <w:tc>
          <w:tcPr>
            <w:tcW w:w="4394" w:type="dxa"/>
            <w:tcBorders>
              <w:left w:val="nil"/>
              <w:right w:val="nil"/>
            </w:tcBorders>
            <w:shd w:val="clear" w:color="auto" w:fill="F2F2F2" w:themeFill="background1" w:themeFillShade="F2"/>
          </w:tcPr>
          <w:p w:rsidR="00614306" w:rsidRPr="00534482" w:rsidRDefault="00614306" w:rsidP="00614306">
            <w:pPr>
              <w:spacing w:before="60" w:after="60"/>
              <w:rPr>
                <w:rFonts w:cs="Arial"/>
                <w:b/>
                <w:bCs/>
                <w:color w:val="000000"/>
              </w:rPr>
            </w:pPr>
          </w:p>
        </w:tc>
        <w:tc>
          <w:tcPr>
            <w:tcW w:w="851" w:type="dxa"/>
            <w:tcBorders>
              <w:left w:val="nil"/>
              <w:right w:val="nil"/>
            </w:tcBorders>
            <w:shd w:val="clear" w:color="auto" w:fill="F2F2F2" w:themeFill="background1" w:themeFillShade="F2"/>
            <w:tcMar>
              <w:right w:w="108" w:type="dxa"/>
            </w:tcMar>
          </w:tcPr>
          <w:p w:rsidR="00614306" w:rsidRPr="00534482" w:rsidRDefault="00614306" w:rsidP="00614306">
            <w:pPr>
              <w:spacing w:before="60" w:after="60"/>
              <w:jc w:val="center"/>
              <w:rPr>
                <w:rFonts w:cs="Arial"/>
                <w:b/>
                <w:bCs/>
                <w:color w:val="000000"/>
              </w:rPr>
            </w:pPr>
          </w:p>
        </w:tc>
        <w:tc>
          <w:tcPr>
            <w:tcW w:w="5812" w:type="dxa"/>
            <w:tcBorders>
              <w:left w:val="nil"/>
              <w:right w:val="nil"/>
            </w:tcBorders>
            <w:shd w:val="clear" w:color="auto" w:fill="F2F2F2" w:themeFill="background1" w:themeFillShade="F2"/>
          </w:tcPr>
          <w:p w:rsidR="00614306" w:rsidRPr="00534482" w:rsidRDefault="00614306" w:rsidP="00614306">
            <w:pPr>
              <w:spacing w:before="60" w:after="60"/>
              <w:rPr>
                <w:rFonts w:cs="Arial"/>
                <w:b/>
                <w:bCs/>
                <w:color w:val="000000"/>
              </w:rPr>
            </w:pPr>
          </w:p>
        </w:tc>
        <w:tc>
          <w:tcPr>
            <w:tcW w:w="1559" w:type="dxa"/>
            <w:tcBorders>
              <w:left w:val="nil"/>
              <w:right w:val="nil"/>
            </w:tcBorders>
            <w:shd w:val="clear" w:color="auto" w:fill="F2F2F2" w:themeFill="background1" w:themeFillShade="F2"/>
          </w:tcPr>
          <w:p w:rsidR="00614306" w:rsidRPr="00534482" w:rsidRDefault="00614306" w:rsidP="00614306">
            <w:pPr>
              <w:spacing w:before="60" w:after="60"/>
              <w:rPr>
                <w:rFonts w:cs="Arial"/>
                <w:b/>
                <w:bCs/>
                <w:color w:val="000000"/>
              </w:rPr>
            </w:pPr>
          </w:p>
        </w:tc>
        <w:tc>
          <w:tcPr>
            <w:tcW w:w="1134" w:type="dxa"/>
            <w:tcBorders>
              <w:left w:val="nil"/>
              <w:right w:val="nil"/>
            </w:tcBorders>
            <w:shd w:val="clear" w:color="auto" w:fill="F2F2F2" w:themeFill="background1" w:themeFillShade="F2"/>
          </w:tcPr>
          <w:p w:rsidR="00614306" w:rsidRPr="00534482" w:rsidRDefault="00614306" w:rsidP="00614306">
            <w:pPr>
              <w:spacing w:before="60" w:after="60"/>
              <w:jc w:val="center"/>
              <w:rPr>
                <w:rFonts w:cs="Arial"/>
                <w:b/>
                <w:bCs/>
                <w:color w:val="000000"/>
              </w:rPr>
            </w:pPr>
          </w:p>
        </w:tc>
        <w:tc>
          <w:tcPr>
            <w:tcW w:w="1559" w:type="dxa"/>
            <w:tcBorders>
              <w:left w:val="nil"/>
            </w:tcBorders>
            <w:shd w:val="clear" w:color="auto" w:fill="F2F2F2" w:themeFill="background1" w:themeFillShade="F2"/>
          </w:tcPr>
          <w:p w:rsidR="00614306" w:rsidRPr="00534482" w:rsidRDefault="00614306" w:rsidP="00614306">
            <w:pPr>
              <w:spacing w:before="60" w:after="60"/>
              <w:rPr>
                <w:rFonts w:cs="Arial"/>
                <w:b/>
                <w:bCs/>
                <w:color w:val="000000"/>
              </w:rPr>
            </w:pP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Legal, Governance and Registrars</w:t>
            </w:r>
          </w:p>
        </w:tc>
        <w:tc>
          <w:tcPr>
            <w:tcW w:w="3402" w:type="dxa"/>
          </w:tcPr>
          <w:p w:rsidR="00614306" w:rsidRDefault="00614306" w:rsidP="00614306">
            <w:pPr>
              <w:spacing w:before="40" w:after="40"/>
              <w:rPr>
                <w:rFonts w:cs="Arial"/>
                <w:color w:val="000000"/>
              </w:rPr>
            </w:pPr>
            <w:r>
              <w:rPr>
                <w:rFonts w:cs="Arial"/>
                <w:color w:val="000000"/>
              </w:rPr>
              <w:t>Risk management</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Effectiveness of risk management arrangements in services and at a corporate level. Includes follow up of any actions from 2018/19 audit. (2019-04)</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Pr>
          <w:p w:rsidR="00614306" w:rsidRDefault="00614306" w:rsidP="00614306">
            <w:pPr>
              <w:spacing w:before="40" w:after="40"/>
              <w:rPr>
                <w:rFonts w:cs="Arial"/>
              </w:rPr>
            </w:pPr>
            <w:r>
              <w:rPr>
                <w:rFonts w:cs="Arial"/>
              </w:rPr>
              <w:t>T</w:t>
            </w:r>
            <w:r w:rsidRPr="00A418E3">
              <w:rPr>
                <w:rFonts w:cs="Arial"/>
              </w:rPr>
              <w:t xml:space="preserve">he council's risk management framework is embedded in </w:t>
            </w:r>
            <w:r>
              <w:rPr>
                <w:rFonts w:cs="Arial"/>
              </w:rPr>
              <w:t xml:space="preserve">its </w:t>
            </w:r>
            <w:r w:rsidRPr="00A418E3">
              <w:rPr>
                <w:rFonts w:cs="Arial"/>
              </w:rPr>
              <w:t>governance and decision making processes</w:t>
            </w:r>
            <w:r>
              <w:rPr>
                <w:rFonts w:cs="Arial"/>
              </w:rPr>
              <w:t>, and is operating effectively.</w:t>
            </w:r>
          </w:p>
          <w:p w:rsidR="00614306" w:rsidRPr="00110A73" w:rsidRDefault="00614306" w:rsidP="00614306">
            <w:pPr>
              <w:tabs>
                <w:tab w:val="left" w:pos="1807"/>
              </w:tabs>
              <w:spacing w:before="40" w:after="40"/>
              <w:rPr>
                <w:rFonts w:cs="Arial"/>
              </w:rPr>
            </w:pPr>
            <w:r>
              <w:rPr>
                <w:rFonts w:cs="Arial"/>
              </w:rPr>
              <w:tab/>
            </w:r>
          </w:p>
        </w:tc>
        <w:tc>
          <w:tcPr>
            <w:tcW w:w="1559" w:type="dxa"/>
          </w:tcPr>
          <w:p w:rsidR="00614306" w:rsidRPr="009C64B7"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Pr>
          <w:p w:rsidR="00614306" w:rsidRPr="00534482"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Business Intelligence</w:t>
            </w:r>
          </w:p>
        </w:tc>
        <w:tc>
          <w:tcPr>
            <w:tcW w:w="3402" w:type="dxa"/>
            <w:shd w:val="clear" w:color="auto" w:fill="auto"/>
          </w:tcPr>
          <w:p w:rsidR="00614306" w:rsidRDefault="00614306" w:rsidP="00614306">
            <w:pPr>
              <w:spacing w:before="40" w:after="40"/>
              <w:rPr>
                <w:rFonts w:cs="Arial"/>
                <w:color w:val="000000"/>
              </w:rPr>
            </w:pPr>
            <w:r>
              <w:rPr>
                <w:rFonts w:cs="Arial"/>
                <w:color w:val="000000"/>
              </w:rPr>
              <w:t>Corporate performance management</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Audit of the implementation of revised performance management arrangements and KPIs developed following the introduction of new corporate strategy. (2019-80)</w:t>
            </w:r>
          </w:p>
        </w:tc>
        <w:tc>
          <w:tcPr>
            <w:tcW w:w="851" w:type="dxa"/>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shd w:val="clear" w:color="auto" w:fill="auto"/>
          </w:tcPr>
          <w:p w:rsidR="00614306" w:rsidRPr="000B2BDA" w:rsidRDefault="00614306" w:rsidP="00614306">
            <w:pPr>
              <w:spacing w:before="40" w:after="40"/>
              <w:rPr>
                <w:rFonts w:cs="Arial"/>
                <w:color w:val="000000"/>
              </w:rPr>
            </w:pPr>
            <w:r>
              <w:rPr>
                <w:rFonts w:cs="Arial"/>
                <w:color w:val="000000"/>
              </w:rPr>
              <w:t xml:space="preserve">Corporate </w:t>
            </w:r>
            <w:r w:rsidRPr="000B2BDA">
              <w:rPr>
                <w:rFonts w:cs="Arial"/>
                <w:color w:val="000000"/>
              </w:rPr>
              <w:t xml:space="preserve">performance </w:t>
            </w:r>
            <w:r>
              <w:rPr>
                <w:rFonts w:cs="Arial"/>
                <w:color w:val="000000"/>
              </w:rPr>
              <w:t>r</w:t>
            </w:r>
            <w:r w:rsidRPr="000B2BDA">
              <w:rPr>
                <w:rFonts w:cs="Arial"/>
                <w:color w:val="000000"/>
              </w:rPr>
              <w:t xml:space="preserve">eporting under new </w:t>
            </w:r>
            <w:r>
              <w:rPr>
                <w:rFonts w:cs="Arial"/>
                <w:color w:val="000000"/>
              </w:rPr>
              <w:t xml:space="preserve">metrics </w:t>
            </w:r>
            <w:r w:rsidRPr="000B2BDA">
              <w:rPr>
                <w:rFonts w:cs="Arial"/>
                <w:color w:val="000000"/>
              </w:rPr>
              <w:t>has been delayed and this audit has therefore been deferred</w:t>
            </w:r>
            <w:r>
              <w:rPr>
                <w:rFonts w:cs="Arial"/>
                <w:color w:val="000000"/>
              </w:rPr>
              <w:t xml:space="preserve"> again</w:t>
            </w:r>
            <w:r w:rsidRPr="000B2BDA">
              <w:rPr>
                <w:rFonts w:cs="Arial"/>
                <w:color w:val="000000"/>
              </w:rPr>
              <w:t>.</w:t>
            </w:r>
            <w:r>
              <w:rPr>
                <w:rFonts w:cs="Arial"/>
                <w:color w:val="000000"/>
              </w:rPr>
              <w:t xml:space="preserve"> </w:t>
            </w:r>
            <w:r w:rsidRPr="000B2BDA">
              <w:rPr>
                <w:rFonts w:cs="Arial"/>
                <w:color w:val="000000"/>
              </w:rPr>
              <w:t xml:space="preserve">Our previous </w:t>
            </w:r>
            <w:r>
              <w:rPr>
                <w:rFonts w:cs="Arial"/>
                <w:color w:val="000000"/>
              </w:rPr>
              <w:t xml:space="preserve">work </w:t>
            </w:r>
            <w:r w:rsidRPr="000B2BDA">
              <w:rPr>
                <w:rFonts w:cs="Arial"/>
                <w:color w:val="000000"/>
              </w:rPr>
              <w:t>in 2017 confirmed that controls to monitor and report the council's performance were adequate and effective.</w:t>
            </w:r>
          </w:p>
        </w:tc>
        <w:tc>
          <w:tcPr>
            <w:tcW w:w="1559" w:type="dxa"/>
            <w:shd w:val="clear" w:color="auto" w:fill="auto"/>
          </w:tcPr>
          <w:p w:rsidR="00614306" w:rsidRPr="009C64B7" w:rsidRDefault="00614306" w:rsidP="00614306">
            <w:pPr>
              <w:spacing w:before="40" w:after="40"/>
              <w:jc w:val="center"/>
              <w:rPr>
                <w:rFonts w:cs="Arial"/>
                <w:color w:val="000000"/>
              </w:rPr>
            </w:pPr>
            <w:r>
              <w:rPr>
                <w:rFonts w:cs="Arial"/>
                <w:color w:val="000000"/>
              </w:rPr>
              <w:t>X</w:t>
            </w:r>
          </w:p>
        </w:tc>
        <w:tc>
          <w:tcPr>
            <w:tcW w:w="1134" w:type="dxa"/>
            <w:shd w:val="clear" w:color="auto" w:fill="auto"/>
          </w:tcPr>
          <w:p w:rsidR="00614306" w:rsidRPr="00534482"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shd w:val="clear" w:color="auto" w:fill="auto"/>
          </w:tcPr>
          <w:p w:rsidR="00614306" w:rsidRPr="00534482"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Pension Fund</w:t>
            </w:r>
          </w:p>
        </w:tc>
        <w:tc>
          <w:tcPr>
            <w:tcW w:w="3402" w:type="dxa"/>
            <w:shd w:val="clear" w:color="auto" w:fill="auto"/>
          </w:tcPr>
          <w:p w:rsidR="00614306" w:rsidRDefault="00614306" w:rsidP="00614306">
            <w:pPr>
              <w:spacing w:before="40" w:after="40"/>
              <w:rPr>
                <w:rFonts w:cs="Arial"/>
                <w:color w:val="000000"/>
              </w:rPr>
            </w:pPr>
            <w:r>
              <w:rPr>
                <w:rFonts w:cs="Arial"/>
                <w:color w:val="000000"/>
              </w:rPr>
              <w:t xml:space="preserve">Local Pensions Partnership </w:t>
            </w:r>
            <w:proofErr w:type="spellStart"/>
            <w:r>
              <w:rPr>
                <w:rFonts w:cs="Arial"/>
                <w:color w:val="000000"/>
              </w:rPr>
              <w:t>Ltd's</w:t>
            </w:r>
            <w:proofErr w:type="spellEnd"/>
            <w:r>
              <w:rPr>
                <w:rFonts w:cs="Arial"/>
                <w:color w:val="000000"/>
              </w:rPr>
              <w:t xml:space="preserve"> (LPP's) compliance with its contractual obligations</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Review of the accuracy of the performance data reported by LPP to demonstrate its achievement of contractual performance targets. (2019-81)</w:t>
            </w:r>
          </w:p>
        </w:tc>
        <w:tc>
          <w:tcPr>
            <w:tcW w:w="851" w:type="dxa"/>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shd w:val="clear" w:color="auto" w:fill="auto"/>
          </w:tcPr>
          <w:p w:rsidR="00614306" w:rsidRPr="000F1B98" w:rsidRDefault="00614306" w:rsidP="00614306">
            <w:pPr>
              <w:spacing w:before="40" w:after="40"/>
              <w:rPr>
                <w:rFonts w:cs="Arial"/>
                <w:color w:val="000000"/>
              </w:rPr>
            </w:pPr>
            <w:r>
              <w:rPr>
                <w:rFonts w:cs="Arial"/>
                <w:color w:val="000000"/>
              </w:rPr>
              <w:t>The data requirements of the service level agreement have not been amended. However work has been undertaken instead on the council's oversight of LPP (2019-87).</w:t>
            </w:r>
          </w:p>
        </w:tc>
        <w:tc>
          <w:tcPr>
            <w:tcW w:w="1559" w:type="dxa"/>
            <w:shd w:val="clear" w:color="auto" w:fill="auto"/>
          </w:tcPr>
          <w:p w:rsidR="00614306" w:rsidRPr="009C64B7" w:rsidRDefault="00614306" w:rsidP="00614306">
            <w:pPr>
              <w:spacing w:before="40" w:after="40"/>
              <w:jc w:val="center"/>
              <w:rPr>
                <w:rFonts w:cs="Arial"/>
                <w:color w:val="000000"/>
              </w:rPr>
            </w:pPr>
            <w:r>
              <w:rPr>
                <w:rFonts w:cs="Arial"/>
                <w:color w:val="000000"/>
              </w:rPr>
              <w:t>X</w:t>
            </w:r>
          </w:p>
        </w:tc>
        <w:tc>
          <w:tcPr>
            <w:tcW w:w="1134" w:type="dxa"/>
            <w:shd w:val="clear" w:color="auto" w:fill="auto"/>
          </w:tcPr>
          <w:p w:rsidR="00614306" w:rsidRPr="009C64B7" w:rsidRDefault="00614306" w:rsidP="00614306">
            <w:pPr>
              <w:spacing w:before="40" w:after="40"/>
              <w:jc w:val="center"/>
              <w:rPr>
                <w:rFonts w:cs="Arial"/>
                <w:color w:val="000000"/>
              </w:rPr>
            </w:pPr>
            <w:r w:rsidRPr="004C1781">
              <w:rPr>
                <w:rFonts w:ascii="Wingdings" w:hAnsi="Wingdings" w:cs="Arial"/>
              </w:rPr>
              <w:sym w:font="Wingdings" w:char="F0FC"/>
            </w:r>
          </w:p>
        </w:tc>
        <w:tc>
          <w:tcPr>
            <w:tcW w:w="1559" w:type="dxa"/>
            <w:shd w:val="clear" w:color="auto" w:fill="auto"/>
          </w:tcPr>
          <w:p w:rsidR="00614306" w:rsidRPr="009C64B7" w:rsidRDefault="00614306" w:rsidP="00614306">
            <w:pPr>
              <w:spacing w:before="40" w:after="40"/>
              <w:rPr>
                <w:rFonts w:cs="Arial"/>
                <w:color w:val="000000"/>
              </w:rPr>
            </w:pPr>
            <w:r>
              <w:rPr>
                <w:rFonts w:cs="Arial"/>
                <w:color w:val="000000"/>
              </w:rPr>
              <w:t>Not applicable</w:t>
            </w:r>
          </w:p>
        </w:tc>
      </w:tr>
      <w:tr w:rsidR="009C49B5" w:rsidTr="00614306">
        <w:trPr>
          <w:trHeight w:val="315"/>
        </w:trPr>
        <w:tc>
          <w:tcPr>
            <w:tcW w:w="5812" w:type="dxa"/>
            <w:gridSpan w:val="2"/>
            <w:tcBorders>
              <w:top w:val="nil"/>
              <w:bottom w:val="single" w:sz="4" w:space="0" w:color="auto"/>
              <w:right w:val="nil"/>
            </w:tcBorders>
            <w:shd w:val="clear" w:color="auto" w:fill="F2F2F2" w:themeFill="background1" w:themeFillShade="F2"/>
            <w:noWrap/>
            <w:hideMark/>
          </w:tcPr>
          <w:p w:rsidR="00614306" w:rsidRPr="00534482" w:rsidRDefault="00614306" w:rsidP="00614306">
            <w:pPr>
              <w:spacing w:before="60" w:after="60"/>
              <w:rPr>
                <w:rFonts w:cs="Arial"/>
                <w:b/>
                <w:bCs/>
                <w:color w:val="000000"/>
              </w:rPr>
            </w:pPr>
            <w:r>
              <w:rPr>
                <w:rFonts w:cs="Arial"/>
                <w:b/>
                <w:bCs/>
                <w:color w:val="000000"/>
              </w:rPr>
              <w:t xml:space="preserve">Control framework: </w:t>
            </w:r>
            <w:r w:rsidRPr="00534482">
              <w:rPr>
                <w:rFonts w:cs="Arial"/>
                <w:b/>
                <w:bCs/>
                <w:color w:val="000000"/>
              </w:rPr>
              <w:t>Service delivery</w:t>
            </w:r>
          </w:p>
        </w:tc>
        <w:tc>
          <w:tcPr>
            <w:tcW w:w="4394" w:type="dxa"/>
            <w:tcBorders>
              <w:top w:val="nil"/>
              <w:left w:val="nil"/>
              <w:bottom w:val="single" w:sz="4" w:space="0" w:color="auto"/>
              <w:right w:val="nil"/>
            </w:tcBorders>
            <w:shd w:val="clear" w:color="auto" w:fill="F2F2F2" w:themeFill="background1" w:themeFillShade="F2"/>
            <w:noWrap/>
            <w:hideMark/>
          </w:tcPr>
          <w:p w:rsidR="00614306" w:rsidRPr="00534482" w:rsidRDefault="00614306" w:rsidP="00614306">
            <w:pPr>
              <w:spacing w:before="60" w:after="60"/>
              <w:rPr>
                <w:rFonts w:cs="Arial"/>
                <w:b/>
                <w:bCs/>
                <w:color w:val="000000"/>
              </w:rPr>
            </w:pPr>
          </w:p>
        </w:tc>
        <w:tc>
          <w:tcPr>
            <w:tcW w:w="851" w:type="dxa"/>
            <w:tcBorders>
              <w:top w:val="nil"/>
              <w:left w:val="nil"/>
              <w:bottom w:val="single" w:sz="4" w:space="0" w:color="auto"/>
              <w:right w:val="nil"/>
            </w:tcBorders>
            <w:shd w:val="clear" w:color="auto" w:fill="F2F2F2" w:themeFill="background1" w:themeFillShade="F2"/>
            <w:tcMar>
              <w:right w:w="108" w:type="dxa"/>
            </w:tcMar>
          </w:tcPr>
          <w:p w:rsidR="00614306" w:rsidRPr="00534482" w:rsidRDefault="00614306" w:rsidP="00614306">
            <w:pPr>
              <w:spacing w:before="60" w:after="60"/>
              <w:jc w:val="center"/>
              <w:rPr>
                <w:rFonts w:cs="Arial"/>
                <w:b/>
                <w:bCs/>
                <w:color w:val="000000"/>
              </w:rPr>
            </w:pPr>
          </w:p>
        </w:tc>
        <w:tc>
          <w:tcPr>
            <w:tcW w:w="5812" w:type="dxa"/>
            <w:tcBorders>
              <w:top w:val="nil"/>
              <w:left w:val="nil"/>
              <w:bottom w:val="single" w:sz="4" w:space="0" w:color="auto"/>
              <w:right w:val="nil"/>
            </w:tcBorders>
            <w:shd w:val="clear" w:color="auto" w:fill="F2F2F2" w:themeFill="background1" w:themeFillShade="F2"/>
          </w:tcPr>
          <w:p w:rsidR="00614306" w:rsidRPr="00534482" w:rsidRDefault="00614306" w:rsidP="00614306">
            <w:pPr>
              <w:spacing w:before="60" w:after="60"/>
              <w:rPr>
                <w:rFonts w:cs="Arial"/>
                <w:b/>
                <w:bCs/>
                <w:color w:val="000000"/>
              </w:rPr>
            </w:pPr>
          </w:p>
        </w:tc>
        <w:tc>
          <w:tcPr>
            <w:tcW w:w="1559" w:type="dxa"/>
            <w:tcBorders>
              <w:top w:val="nil"/>
              <w:left w:val="nil"/>
              <w:bottom w:val="single" w:sz="4" w:space="0" w:color="auto"/>
              <w:right w:val="nil"/>
            </w:tcBorders>
            <w:shd w:val="clear" w:color="auto" w:fill="F2F2F2" w:themeFill="background1" w:themeFillShade="F2"/>
          </w:tcPr>
          <w:p w:rsidR="00614306" w:rsidRPr="00534482" w:rsidRDefault="00614306" w:rsidP="00614306">
            <w:pPr>
              <w:spacing w:before="60" w:after="60"/>
              <w:rPr>
                <w:rFonts w:cs="Arial"/>
                <w:b/>
                <w:bCs/>
                <w:color w:val="000000"/>
              </w:rPr>
            </w:pPr>
          </w:p>
        </w:tc>
        <w:tc>
          <w:tcPr>
            <w:tcW w:w="1134" w:type="dxa"/>
            <w:tcBorders>
              <w:top w:val="nil"/>
              <w:left w:val="nil"/>
              <w:bottom w:val="single" w:sz="4" w:space="0" w:color="auto"/>
              <w:right w:val="nil"/>
            </w:tcBorders>
            <w:shd w:val="clear" w:color="auto" w:fill="F2F2F2" w:themeFill="background1" w:themeFillShade="F2"/>
          </w:tcPr>
          <w:p w:rsidR="00614306" w:rsidRPr="00534482" w:rsidRDefault="00614306" w:rsidP="00614306">
            <w:pPr>
              <w:spacing w:before="60" w:after="60"/>
              <w:jc w:val="center"/>
              <w:rPr>
                <w:rFonts w:cs="Arial"/>
                <w:b/>
                <w:bCs/>
                <w:color w:val="000000"/>
              </w:rPr>
            </w:pPr>
          </w:p>
        </w:tc>
        <w:tc>
          <w:tcPr>
            <w:tcW w:w="1559" w:type="dxa"/>
            <w:tcBorders>
              <w:top w:val="nil"/>
              <w:left w:val="nil"/>
              <w:bottom w:val="single" w:sz="4" w:space="0" w:color="auto"/>
              <w:right w:val="single" w:sz="4" w:space="0" w:color="auto"/>
            </w:tcBorders>
            <w:shd w:val="clear" w:color="auto" w:fill="F2F2F2" w:themeFill="background1" w:themeFillShade="F2"/>
          </w:tcPr>
          <w:p w:rsidR="00614306" w:rsidRPr="00534482" w:rsidRDefault="00614306" w:rsidP="00614306">
            <w:pPr>
              <w:spacing w:before="60" w:after="60"/>
              <w:rPr>
                <w:rFonts w:cs="Arial"/>
                <w:b/>
                <w:bCs/>
                <w:color w:val="000000"/>
              </w:rPr>
            </w:pPr>
          </w:p>
        </w:tc>
      </w:tr>
      <w:tr w:rsidR="009C49B5" w:rsidTr="00614306">
        <w:trPr>
          <w:trHeight w:val="300"/>
        </w:trPr>
        <w:tc>
          <w:tcPr>
            <w:tcW w:w="10206" w:type="dxa"/>
            <w:gridSpan w:val="3"/>
            <w:tcBorders>
              <w:right w:val="nil"/>
            </w:tcBorders>
            <w:shd w:val="clear" w:color="auto" w:fill="auto"/>
            <w:noWrap/>
          </w:tcPr>
          <w:p w:rsidR="00614306" w:rsidRPr="00A14D0F" w:rsidRDefault="00614306" w:rsidP="00614306">
            <w:pPr>
              <w:spacing w:before="60" w:after="60"/>
              <w:rPr>
                <w:rFonts w:cs="Arial"/>
                <w:b/>
                <w:color w:val="000000"/>
              </w:rPr>
            </w:pPr>
            <w:r w:rsidRPr="00A14D0F">
              <w:rPr>
                <w:rFonts w:cs="Arial"/>
                <w:b/>
                <w:color w:val="000000"/>
              </w:rPr>
              <w:t>Adult Services and Health &amp; Wellbeing</w:t>
            </w:r>
          </w:p>
        </w:tc>
        <w:tc>
          <w:tcPr>
            <w:tcW w:w="851" w:type="dxa"/>
            <w:tcBorders>
              <w:left w:val="nil"/>
              <w:right w:val="nil"/>
            </w:tcBorders>
            <w:tcMar>
              <w:right w:w="108" w:type="dxa"/>
            </w:tcMar>
          </w:tcPr>
          <w:p w:rsidR="00614306" w:rsidRPr="006E2BC6" w:rsidRDefault="00614306" w:rsidP="00614306">
            <w:pPr>
              <w:spacing w:before="60" w:after="60"/>
              <w:jc w:val="center"/>
              <w:rPr>
                <w:rFonts w:cs="Arial"/>
                <w:color w:val="000000"/>
              </w:rPr>
            </w:pPr>
          </w:p>
        </w:tc>
        <w:tc>
          <w:tcPr>
            <w:tcW w:w="5812" w:type="dxa"/>
            <w:tcBorders>
              <w:top w:val="single" w:sz="4" w:space="0" w:color="auto"/>
              <w:left w:val="nil"/>
              <w:right w:val="nil"/>
            </w:tcBorders>
          </w:tcPr>
          <w:p w:rsidR="00614306" w:rsidRPr="0071307A" w:rsidRDefault="00614306" w:rsidP="00614306">
            <w:pPr>
              <w:spacing w:before="60" w:after="60"/>
              <w:rPr>
                <w:rFonts w:cs="Arial"/>
              </w:rPr>
            </w:pPr>
          </w:p>
        </w:tc>
        <w:tc>
          <w:tcPr>
            <w:tcW w:w="1559" w:type="dxa"/>
            <w:tcBorders>
              <w:top w:val="single" w:sz="4" w:space="0" w:color="auto"/>
              <w:left w:val="nil"/>
              <w:right w:val="nil"/>
            </w:tcBorders>
          </w:tcPr>
          <w:p w:rsidR="00614306" w:rsidRPr="00534482" w:rsidRDefault="00614306" w:rsidP="00614306">
            <w:pPr>
              <w:spacing w:before="60" w:after="60"/>
              <w:rPr>
                <w:rFonts w:cs="Arial"/>
              </w:rPr>
            </w:pPr>
          </w:p>
        </w:tc>
        <w:tc>
          <w:tcPr>
            <w:tcW w:w="1134" w:type="dxa"/>
            <w:tcBorders>
              <w:top w:val="single" w:sz="4" w:space="0" w:color="auto"/>
              <w:left w:val="nil"/>
              <w:right w:val="nil"/>
            </w:tcBorders>
          </w:tcPr>
          <w:p w:rsidR="00614306" w:rsidRPr="00534482" w:rsidRDefault="00614306" w:rsidP="00614306">
            <w:pPr>
              <w:spacing w:before="60" w:after="60"/>
              <w:jc w:val="center"/>
              <w:rPr>
                <w:rFonts w:cs="Arial"/>
              </w:rPr>
            </w:pPr>
          </w:p>
        </w:tc>
        <w:tc>
          <w:tcPr>
            <w:tcW w:w="1559" w:type="dxa"/>
            <w:tcBorders>
              <w:top w:val="single" w:sz="4" w:space="0" w:color="auto"/>
              <w:left w:val="nil"/>
            </w:tcBorders>
          </w:tcPr>
          <w:p w:rsidR="00614306" w:rsidRPr="00534482" w:rsidRDefault="00614306" w:rsidP="00614306">
            <w:pPr>
              <w:spacing w:before="60" w:after="60"/>
              <w:rPr>
                <w:rFonts w:cs="Arial"/>
              </w:rPr>
            </w:pPr>
          </w:p>
        </w:tc>
      </w:tr>
      <w:tr w:rsidR="009C49B5" w:rsidTr="00614306">
        <w:trPr>
          <w:trHeight w:val="300"/>
        </w:trPr>
        <w:tc>
          <w:tcPr>
            <w:tcW w:w="2410"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Learning Disability, Autism &amp; Mental Health</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Transitioning young people from children's services to adults' services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controls that have been put in place to ensure that young people are properly transferred between children's and adults' services. (2019-05)</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completed to draw any conclusions in this area, and no further work was possible around the year end.</w:t>
            </w:r>
          </w:p>
        </w:tc>
        <w:tc>
          <w:tcPr>
            <w:tcW w:w="1559" w:type="dxa"/>
            <w:tcBorders>
              <w:top w:val="single" w:sz="4" w:space="0" w:color="auto"/>
              <w:bottom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bottom w:val="single" w:sz="4" w:space="0" w:color="auto"/>
            </w:tcBorders>
            <w:shd w:val="clear" w:color="auto" w:fill="auto"/>
          </w:tcPr>
          <w:p w:rsidR="00614306" w:rsidRPr="009C64B7"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bottom w:val="single" w:sz="4" w:space="0" w:color="auto"/>
            </w:tcBorders>
            <w:shd w:val="clear" w:color="auto" w:fill="auto"/>
          </w:tcPr>
          <w:p w:rsidR="00614306" w:rsidRPr="009C64B7"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2410" w:type="dxa"/>
            <w:tcBorders>
              <w:top w:val="nil"/>
            </w:tcBorders>
            <w:shd w:val="clear" w:color="auto" w:fill="auto"/>
            <w:noWrap/>
          </w:tcPr>
          <w:p w:rsidR="00614306" w:rsidRDefault="00614306" w:rsidP="00614306">
            <w:pPr>
              <w:spacing w:before="40" w:after="40"/>
              <w:rPr>
                <w:rFonts w:cs="Arial"/>
                <w:color w:val="000000"/>
              </w:rPr>
            </w:pPr>
            <w:r>
              <w:rPr>
                <w:rFonts w:cs="Arial"/>
                <w:color w:val="000000"/>
              </w:rPr>
              <w:lastRenderedPageBreak/>
              <w:t>Learning Disability, Autism &amp; Mental Health</w:t>
            </w:r>
          </w:p>
        </w:tc>
        <w:tc>
          <w:tcPr>
            <w:tcW w:w="3402" w:type="dxa"/>
            <w:tcBorders>
              <w:top w:val="nil"/>
            </w:tcBorders>
            <w:shd w:val="clear" w:color="auto" w:fill="auto"/>
          </w:tcPr>
          <w:p w:rsidR="00614306" w:rsidRDefault="00614306" w:rsidP="00614306">
            <w:pPr>
              <w:spacing w:before="40" w:after="40"/>
              <w:rPr>
                <w:rFonts w:cs="Arial"/>
                <w:color w:val="000000"/>
              </w:rPr>
            </w:pPr>
            <w:r>
              <w:rPr>
                <w:rFonts w:cs="Arial"/>
                <w:color w:val="000000"/>
              </w:rPr>
              <w:t>Mental health case management</w:t>
            </w:r>
            <w:bookmarkStart w:id="0" w:name="_GoBack"/>
            <w:bookmarkEnd w:id="0"/>
          </w:p>
        </w:tc>
        <w:tc>
          <w:tcPr>
            <w:tcW w:w="4394" w:type="dxa"/>
            <w:tcBorders>
              <w:top w:val="nil"/>
            </w:tcBorders>
            <w:shd w:val="clear" w:color="auto" w:fill="auto"/>
            <w:noWrap/>
          </w:tcPr>
          <w:p w:rsidR="00614306" w:rsidRDefault="00614306" w:rsidP="00614306">
            <w:pPr>
              <w:spacing w:before="40" w:after="40"/>
              <w:rPr>
                <w:rFonts w:cs="Arial"/>
                <w:color w:val="000000"/>
              </w:rPr>
            </w:pPr>
            <w:r>
              <w:rPr>
                <w:rFonts w:cs="Arial"/>
                <w:color w:val="000000"/>
              </w:rPr>
              <w:t>Review of the end-to-end case management arrangements following the transfer of mental health services back into the council from the NHS. (2019-06)</w:t>
            </w:r>
          </w:p>
        </w:tc>
        <w:tc>
          <w:tcPr>
            <w:tcW w:w="851" w:type="dxa"/>
            <w:tcBorders>
              <w:top w:val="nil"/>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tcBorders>
          </w:tcPr>
          <w:p w:rsidR="00614306" w:rsidRPr="00A14D0F" w:rsidRDefault="00614306" w:rsidP="00614306">
            <w:pPr>
              <w:spacing w:before="40" w:after="40"/>
              <w:rPr>
                <w:rFonts w:cs="Arial"/>
                <w:color w:val="000000"/>
              </w:rPr>
            </w:pPr>
            <w:r w:rsidRPr="000B2BDA">
              <w:rPr>
                <w:rFonts w:cs="Arial"/>
                <w:color w:val="000000"/>
              </w:rPr>
              <w:t>The new framework of control is adequately designed and effectively operated with some areas of good practice.</w:t>
            </w:r>
          </w:p>
        </w:tc>
        <w:tc>
          <w:tcPr>
            <w:tcW w:w="1559" w:type="dxa"/>
            <w:tcBorders>
              <w:top w:val="nil"/>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tcBorders>
          </w:tcPr>
          <w:p w:rsidR="00614306" w:rsidRPr="00A14D0F" w:rsidRDefault="00614306" w:rsidP="00614306">
            <w:pPr>
              <w:spacing w:before="40" w:after="40"/>
              <w:jc w:val="center"/>
              <w:rPr>
                <w:rFonts w:cs="Arial"/>
                <w:color w:val="000000"/>
              </w:rPr>
            </w:pPr>
            <w:r>
              <w:rPr>
                <w:rFonts w:cs="Arial"/>
                <w:color w:val="000000"/>
              </w:rPr>
              <w:t>X</w:t>
            </w:r>
          </w:p>
        </w:tc>
        <w:tc>
          <w:tcPr>
            <w:tcW w:w="1559" w:type="dxa"/>
            <w:tcBorders>
              <w:top w:val="nil"/>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Learning Disability, Autism &amp; Mental Health</w:t>
            </w:r>
          </w:p>
        </w:tc>
        <w:tc>
          <w:tcPr>
            <w:tcW w:w="3402" w:type="dxa"/>
            <w:shd w:val="clear" w:color="auto" w:fill="auto"/>
          </w:tcPr>
          <w:p w:rsidR="00614306" w:rsidRDefault="00614306" w:rsidP="00614306">
            <w:pPr>
              <w:spacing w:before="40" w:after="40"/>
              <w:rPr>
                <w:rFonts w:cs="Arial"/>
                <w:color w:val="000000"/>
              </w:rPr>
            </w:pPr>
            <w:r>
              <w:rPr>
                <w:rFonts w:cs="Arial"/>
                <w:color w:val="000000"/>
              </w:rPr>
              <w:t>Mental health case audit work</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Assessment of the robustness of the case audit mechanism as a means of identifying elements of good practice to be shared and identifying areas for improvement. (2019-07)</w:t>
            </w:r>
          </w:p>
        </w:tc>
        <w:tc>
          <w:tcPr>
            <w:tcW w:w="851" w:type="dxa"/>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completed to draw any conclusions in this area, and no further work was possible around the year end.</w:t>
            </w:r>
          </w:p>
        </w:tc>
        <w:tc>
          <w:tcPr>
            <w:tcW w:w="1559" w:type="dxa"/>
            <w:tcBorders>
              <w:top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top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Learning Disability, Autism &amp; Mental Health</w:t>
            </w:r>
          </w:p>
        </w:tc>
        <w:tc>
          <w:tcPr>
            <w:tcW w:w="3402" w:type="dxa"/>
            <w:shd w:val="clear" w:color="auto" w:fill="auto"/>
          </w:tcPr>
          <w:p w:rsidR="00614306" w:rsidRDefault="00614306" w:rsidP="00614306">
            <w:pPr>
              <w:spacing w:before="40" w:after="40"/>
              <w:rPr>
                <w:rFonts w:cs="Arial"/>
                <w:color w:val="000000"/>
              </w:rPr>
            </w:pPr>
            <w:r>
              <w:rPr>
                <w:rFonts w:cs="Arial"/>
                <w:color w:val="000000"/>
              </w:rPr>
              <w:t>Supervision</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Confirmation that staff are subject to regular support and supervisory review to ensure compliance with professional body requirements. (2019-08)</w:t>
            </w:r>
          </w:p>
        </w:tc>
        <w:tc>
          <w:tcPr>
            <w:tcW w:w="851" w:type="dxa"/>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top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completed to draw any conclusions in this area, and no further work was possible around the year end.</w:t>
            </w:r>
          </w:p>
        </w:tc>
        <w:tc>
          <w:tcPr>
            <w:tcW w:w="1559" w:type="dxa"/>
            <w:tcBorders>
              <w:top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top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Social Care (Health); Social Care (Community)</w:t>
            </w:r>
          </w:p>
        </w:tc>
        <w:tc>
          <w:tcPr>
            <w:tcW w:w="3402" w:type="dxa"/>
            <w:shd w:val="clear" w:color="auto" w:fill="auto"/>
          </w:tcPr>
          <w:p w:rsidR="00614306" w:rsidRDefault="00614306" w:rsidP="00614306">
            <w:pPr>
              <w:spacing w:before="40" w:after="40"/>
              <w:rPr>
                <w:rFonts w:cs="Arial"/>
                <w:color w:val="000000"/>
              </w:rPr>
            </w:pPr>
            <w:r>
              <w:rPr>
                <w:rFonts w:cs="Arial"/>
                <w:color w:val="000000"/>
              </w:rPr>
              <w:t>Service challenge governance</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Assessment of the governance and risk management arrangements in relation to service challenge items and business as usual following the Passport to Independence programme. (2019-09)</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tcPr>
          <w:p w:rsidR="00614306" w:rsidRPr="00B35ECE" w:rsidRDefault="00614306" w:rsidP="00614306">
            <w:pPr>
              <w:spacing w:before="40" w:after="40"/>
              <w:rPr>
                <w:rFonts w:cs="Arial"/>
                <w:color w:val="000000"/>
              </w:rPr>
            </w:pPr>
            <w:r w:rsidRPr="00B35ECE">
              <w:rPr>
                <w:rFonts w:cs="Arial"/>
                <w:color w:val="000000"/>
              </w:rPr>
              <w:t>The service challenge savings relating to adult social care are subject to effective governance.</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Pr="00B35ECE"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Social Care (Health); Social Care (Community)</w:t>
            </w:r>
          </w:p>
        </w:tc>
        <w:tc>
          <w:tcPr>
            <w:tcW w:w="3402" w:type="dxa"/>
            <w:shd w:val="clear" w:color="auto" w:fill="auto"/>
          </w:tcPr>
          <w:p w:rsidR="00614306" w:rsidRDefault="00614306" w:rsidP="00614306">
            <w:pPr>
              <w:spacing w:before="40" w:after="40"/>
              <w:rPr>
                <w:rFonts w:cs="Arial"/>
                <w:color w:val="000000"/>
              </w:rPr>
            </w:pPr>
            <w:r>
              <w:rPr>
                <w:rFonts w:cs="Arial"/>
                <w:color w:val="000000"/>
              </w:rPr>
              <w:t>Provider-led reviews</w:t>
            </w:r>
          </w:p>
        </w:tc>
        <w:tc>
          <w:tcPr>
            <w:tcW w:w="4394" w:type="dxa"/>
            <w:shd w:val="clear" w:color="auto" w:fill="auto"/>
            <w:noWrap/>
          </w:tcPr>
          <w:p w:rsidR="00614306" w:rsidRDefault="00614306" w:rsidP="00614306">
            <w:pPr>
              <w:spacing w:before="40" w:after="40"/>
              <w:rPr>
                <w:rFonts w:cs="Arial"/>
              </w:rPr>
            </w:pPr>
            <w:r>
              <w:rPr>
                <w:rFonts w:cs="Arial"/>
              </w:rPr>
              <w:t xml:space="preserve">Assessment of the scheme operating in the Carers Service, focussing on whether the council is obtaining appropriate assurance that quality standards are being maintained, and the reviewers' competence and training. </w:t>
            </w:r>
            <w:r>
              <w:rPr>
                <w:rFonts w:cs="Arial"/>
                <w:color w:val="000000"/>
              </w:rPr>
              <w:t>(2019-10)</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single" w:sz="4" w:space="0" w:color="auto"/>
            </w:tcBorders>
          </w:tcPr>
          <w:p w:rsidR="00614306" w:rsidRPr="00D55305" w:rsidRDefault="00614306" w:rsidP="00614306">
            <w:pPr>
              <w:spacing w:before="40" w:after="40"/>
              <w:rPr>
                <w:rFonts w:cs="Arial"/>
              </w:rPr>
            </w:pPr>
            <w:r w:rsidRPr="001D5F57">
              <w:rPr>
                <w:rFonts w:cs="Arial"/>
              </w:rPr>
              <w:t>Practice guidance for assessors is being finalised and</w:t>
            </w:r>
            <w:r>
              <w:rPr>
                <w:rFonts w:cs="Arial"/>
              </w:rPr>
              <w:t>,</w:t>
            </w:r>
            <w:r w:rsidRPr="001D5F57">
              <w:rPr>
                <w:rFonts w:cs="Arial"/>
              </w:rPr>
              <w:t xml:space="preserve"> once agreed</w:t>
            </w:r>
            <w:r>
              <w:rPr>
                <w:rFonts w:cs="Arial"/>
              </w:rPr>
              <w:t>,</w:t>
            </w:r>
            <w:r w:rsidRPr="001D5F57">
              <w:rPr>
                <w:rFonts w:cs="Arial"/>
              </w:rPr>
              <w:t xml:space="preserve"> </w:t>
            </w:r>
            <w:r>
              <w:rPr>
                <w:rFonts w:cs="Arial"/>
              </w:rPr>
              <w:t xml:space="preserve">it </w:t>
            </w:r>
            <w:r w:rsidRPr="001D5F57">
              <w:rPr>
                <w:rFonts w:cs="Arial"/>
              </w:rPr>
              <w:t>will be posted on the intranet with other relevant policies, procedures and guidance for social workers. Comprehensive templates for performance management and quality assessment have been developed.</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Older People</w:t>
            </w:r>
          </w:p>
        </w:tc>
        <w:tc>
          <w:tcPr>
            <w:tcW w:w="3402" w:type="dxa"/>
            <w:shd w:val="clear" w:color="auto" w:fill="auto"/>
          </w:tcPr>
          <w:p w:rsidR="00614306" w:rsidRDefault="00614306" w:rsidP="00614306">
            <w:pPr>
              <w:spacing w:before="40" w:after="40"/>
              <w:rPr>
                <w:rFonts w:cs="Arial"/>
                <w:color w:val="000000"/>
              </w:rPr>
            </w:pPr>
            <w:r>
              <w:rPr>
                <w:rFonts w:cs="Arial"/>
                <w:color w:val="000000"/>
              </w:rPr>
              <w:t>Audit and assurance arrangements</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 review of the in-service audit arrangements, focussing on supervision arrangements, medication compliance and support planning in residential settings. (2019-11)</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tcPr>
          <w:p w:rsidR="00614306" w:rsidRPr="00146E1E" w:rsidRDefault="00614306" w:rsidP="00614306">
            <w:pPr>
              <w:spacing w:before="40" w:after="40"/>
              <w:rPr>
                <w:rFonts w:cs="Arial"/>
                <w:color w:val="000000"/>
              </w:rPr>
            </w:pPr>
            <w:r w:rsidRPr="00000503">
              <w:rPr>
                <w:rFonts w:cs="Arial"/>
              </w:rPr>
              <w:t xml:space="preserve">The service </w:t>
            </w:r>
            <w:r>
              <w:rPr>
                <w:rFonts w:cs="Arial"/>
              </w:rPr>
              <w:t xml:space="preserve">checks </w:t>
            </w:r>
            <w:r w:rsidRPr="00000503">
              <w:rPr>
                <w:rFonts w:cs="Arial"/>
              </w:rPr>
              <w:t>in a number of ways that its control of medication, support planning and supervision in its homes is adequate</w:t>
            </w:r>
            <w:r>
              <w:rPr>
                <w:rFonts w:cs="Arial"/>
              </w:rPr>
              <w:t xml:space="preserve"> and effective</w:t>
            </w:r>
            <w:r w:rsidRPr="00000503">
              <w:rPr>
                <w:rFonts w:cs="Arial"/>
              </w:rPr>
              <w:t>.</w:t>
            </w:r>
            <w:r>
              <w:rPr>
                <w:rFonts w:cs="Arial"/>
              </w:rPr>
              <w:t xml:space="preserve"> We found no significant issues in relation to </w:t>
            </w:r>
            <w:r w:rsidRPr="00000503">
              <w:rPr>
                <w:rFonts w:cs="Arial"/>
              </w:rPr>
              <w:t>medication</w:t>
            </w:r>
            <w:r>
              <w:rPr>
                <w:rFonts w:cs="Arial"/>
              </w:rPr>
              <w:t xml:space="preserve"> and</w:t>
            </w:r>
            <w:r w:rsidRPr="00000503">
              <w:rPr>
                <w:rFonts w:cs="Arial"/>
              </w:rPr>
              <w:t xml:space="preserve"> support planning</w:t>
            </w:r>
            <w:r>
              <w:rPr>
                <w:rFonts w:cs="Arial"/>
              </w:rPr>
              <w:t xml:space="preserve">, but the service is aware that </w:t>
            </w:r>
            <w:r w:rsidRPr="00597069">
              <w:rPr>
                <w:rFonts w:cs="Arial"/>
              </w:rPr>
              <w:t xml:space="preserve">supervision meetings are </w:t>
            </w:r>
            <w:r>
              <w:rPr>
                <w:rFonts w:cs="Arial"/>
              </w:rPr>
              <w:t xml:space="preserve">not </w:t>
            </w:r>
            <w:r w:rsidRPr="00597069">
              <w:rPr>
                <w:rFonts w:cs="Arial"/>
              </w:rPr>
              <w:t>conducted for all staff</w:t>
            </w:r>
            <w:r>
              <w:rPr>
                <w:rFonts w:cs="Arial"/>
              </w:rPr>
              <w:t xml:space="preserve">, </w:t>
            </w:r>
            <w:r w:rsidRPr="00597069">
              <w:rPr>
                <w:rFonts w:cs="Arial"/>
              </w:rPr>
              <w:t>or sufficiently frequently</w:t>
            </w:r>
            <w:r>
              <w:rPr>
                <w:rFonts w:cs="Arial"/>
              </w:rPr>
              <w:t>.</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Older People</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Management of service users' funds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 review of the controls in place to ensure that service user funds are appropriately safeguarded and accounted for, including contributions to and the use of the residents' amenity fund. (2019-12)</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top w:val="single" w:sz="4" w:space="0" w:color="auto"/>
              <w:bottom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bottom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top w:val="single" w:sz="4" w:space="0" w:color="auto"/>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Older People</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Financial practice for self-funders</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An assessment of the adequacy and effectiveness of the arrangements for recording and accounting for contributions due from self-funders, with a focus on accuracy and efficiency. (2019-13)</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bottom w:val="single" w:sz="4" w:space="0" w:color="auto"/>
            </w:tcBorders>
          </w:tcPr>
          <w:p w:rsidR="00614306" w:rsidRPr="00146E1E" w:rsidRDefault="00614306" w:rsidP="00614306">
            <w:pPr>
              <w:spacing w:before="40" w:after="40"/>
              <w:rPr>
                <w:rFonts w:cs="Arial"/>
                <w:color w:val="000000"/>
              </w:rPr>
            </w:pPr>
            <w:r>
              <w:rPr>
                <w:rFonts w:cs="Arial"/>
              </w:rPr>
              <w:t>Guidance to staff regarding the financial processes supporting self-funded care in the council's establishments is inadequate</w:t>
            </w:r>
            <w:r w:rsidRPr="00950219">
              <w:rPr>
                <w:rFonts w:cs="Arial"/>
              </w:rPr>
              <w:t>.</w:t>
            </w:r>
            <w:r>
              <w:rPr>
                <w:rFonts w:cs="Arial"/>
              </w:rPr>
              <w:t xml:space="preserve"> Information about the deposits held for service users has not generally been properly recorded and considerable effort is being made to identify the funds held by the council.</w:t>
            </w:r>
          </w:p>
        </w:tc>
        <w:tc>
          <w:tcPr>
            <w:tcW w:w="1559" w:type="dxa"/>
            <w:tcBorders>
              <w:top w:val="nil"/>
              <w:bottom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9C49B5" w:rsidTr="00614306">
        <w:trPr>
          <w:trHeight w:val="300"/>
        </w:trPr>
        <w:tc>
          <w:tcPr>
            <w:tcW w:w="2410" w:type="dxa"/>
            <w:tcBorders>
              <w:top w:val="single" w:sz="4" w:space="0" w:color="auto"/>
              <w:left w:val="nil"/>
              <w:bottom w:val="nil"/>
              <w:right w:val="nil"/>
            </w:tcBorders>
            <w:shd w:val="clear" w:color="auto" w:fill="auto"/>
            <w:noWrap/>
          </w:tcPr>
          <w:p w:rsidR="00614306" w:rsidRDefault="00614306" w:rsidP="00614306">
            <w:pPr>
              <w:rPr>
                <w:rFonts w:cs="Arial"/>
                <w:color w:val="000000"/>
              </w:rPr>
            </w:pPr>
          </w:p>
        </w:tc>
        <w:tc>
          <w:tcPr>
            <w:tcW w:w="3402" w:type="dxa"/>
            <w:tcBorders>
              <w:top w:val="single" w:sz="4" w:space="0" w:color="auto"/>
              <w:left w:val="nil"/>
              <w:bottom w:val="nil"/>
              <w:right w:val="nil"/>
            </w:tcBorders>
            <w:shd w:val="clear" w:color="auto" w:fill="auto"/>
          </w:tcPr>
          <w:p w:rsidR="00614306" w:rsidRDefault="00614306" w:rsidP="00614306">
            <w:pPr>
              <w:rPr>
                <w:rFonts w:cs="Arial"/>
                <w:color w:val="000000"/>
              </w:rPr>
            </w:pPr>
          </w:p>
        </w:tc>
        <w:tc>
          <w:tcPr>
            <w:tcW w:w="4394" w:type="dxa"/>
            <w:tcBorders>
              <w:top w:val="single" w:sz="4" w:space="0" w:color="auto"/>
              <w:left w:val="nil"/>
              <w:bottom w:val="nil"/>
              <w:right w:val="nil"/>
            </w:tcBorders>
            <w:shd w:val="clear" w:color="auto" w:fill="auto"/>
            <w:noWrap/>
          </w:tcPr>
          <w:p w:rsidR="00614306" w:rsidRDefault="00614306" w:rsidP="00614306">
            <w:pPr>
              <w:rPr>
                <w:rFonts w:cs="Arial"/>
                <w:color w:val="000000"/>
              </w:rPr>
            </w:pPr>
          </w:p>
        </w:tc>
        <w:tc>
          <w:tcPr>
            <w:tcW w:w="851" w:type="dxa"/>
            <w:tcBorders>
              <w:top w:val="single" w:sz="4" w:space="0" w:color="auto"/>
              <w:left w:val="nil"/>
              <w:bottom w:val="nil"/>
              <w:right w:val="nil"/>
            </w:tcBorders>
            <w:tcMar>
              <w:right w:w="108" w:type="dxa"/>
            </w:tcMar>
          </w:tcPr>
          <w:p w:rsidR="00614306" w:rsidRDefault="00614306" w:rsidP="00614306">
            <w:pPr>
              <w:jc w:val="center"/>
              <w:rPr>
                <w:rFonts w:cs="Arial"/>
                <w:color w:val="000000"/>
              </w:rPr>
            </w:pPr>
          </w:p>
        </w:tc>
        <w:tc>
          <w:tcPr>
            <w:tcW w:w="5812" w:type="dxa"/>
            <w:tcBorders>
              <w:top w:val="single" w:sz="4" w:space="0" w:color="auto"/>
              <w:left w:val="nil"/>
              <w:bottom w:val="nil"/>
              <w:right w:val="nil"/>
            </w:tcBorders>
          </w:tcPr>
          <w:p w:rsidR="00614306" w:rsidRDefault="00614306" w:rsidP="00614306">
            <w:pPr>
              <w:rPr>
                <w:rFonts w:cs="Arial"/>
              </w:rPr>
            </w:pPr>
          </w:p>
        </w:tc>
        <w:tc>
          <w:tcPr>
            <w:tcW w:w="1559" w:type="dxa"/>
            <w:tcBorders>
              <w:top w:val="single" w:sz="4" w:space="0" w:color="auto"/>
              <w:left w:val="nil"/>
              <w:bottom w:val="nil"/>
              <w:right w:val="nil"/>
            </w:tcBorders>
          </w:tcPr>
          <w:p w:rsidR="00614306" w:rsidRDefault="00614306" w:rsidP="00614306">
            <w:pPr>
              <w:spacing w:before="40" w:after="40"/>
              <w:jc w:val="center"/>
              <w:rPr>
                <w:rFonts w:cs="Arial"/>
                <w:color w:val="000000"/>
              </w:rPr>
            </w:pPr>
          </w:p>
        </w:tc>
        <w:tc>
          <w:tcPr>
            <w:tcW w:w="1134" w:type="dxa"/>
            <w:tcBorders>
              <w:top w:val="single" w:sz="4" w:space="0" w:color="auto"/>
              <w:left w:val="nil"/>
              <w:bottom w:val="nil"/>
              <w:right w:val="nil"/>
            </w:tcBorders>
          </w:tcPr>
          <w:p w:rsidR="00614306" w:rsidRDefault="00614306" w:rsidP="00614306">
            <w:pPr>
              <w:spacing w:before="40" w:after="40"/>
              <w:jc w:val="center"/>
              <w:rPr>
                <w:rFonts w:cs="Arial"/>
                <w:color w:val="000000"/>
              </w:rPr>
            </w:pPr>
          </w:p>
        </w:tc>
        <w:tc>
          <w:tcPr>
            <w:tcW w:w="1559" w:type="dxa"/>
            <w:tcBorders>
              <w:top w:val="single" w:sz="4" w:space="0" w:color="auto"/>
              <w:left w:val="nil"/>
              <w:bottom w:val="nil"/>
              <w:right w:val="nil"/>
            </w:tcBorders>
          </w:tcPr>
          <w:p w:rsidR="00614306" w:rsidRPr="00F46785" w:rsidRDefault="00614306" w:rsidP="00614306">
            <w:pPr>
              <w:spacing w:before="40" w:after="40"/>
              <w:rPr>
                <w:rFonts w:cs="Arial"/>
                <w:color w:val="000000"/>
              </w:rPr>
            </w:pPr>
          </w:p>
        </w:tc>
      </w:tr>
      <w:tr w:rsidR="009C49B5" w:rsidTr="00614306">
        <w:trPr>
          <w:trHeight w:val="300"/>
        </w:trPr>
        <w:tc>
          <w:tcPr>
            <w:tcW w:w="2410" w:type="dxa"/>
            <w:tcBorders>
              <w:top w:val="nil"/>
            </w:tcBorders>
            <w:shd w:val="clear" w:color="auto" w:fill="auto"/>
            <w:noWrap/>
          </w:tcPr>
          <w:p w:rsidR="00614306" w:rsidRDefault="00614306" w:rsidP="00614306">
            <w:pPr>
              <w:spacing w:before="40" w:after="40"/>
              <w:rPr>
                <w:rFonts w:cs="Arial"/>
                <w:color w:val="000000"/>
              </w:rPr>
            </w:pPr>
            <w:r>
              <w:rPr>
                <w:rFonts w:cs="Arial"/>
                <w:color w:val="000000"/>
              </w:rPr>
              <w:lastRenderedPageBreak/>
              <w:t>Disability Services</w:t>
            </w:r>
          </w:p>
        </w:tc>
        <w:tc>
          <w:tcPr>
            <w:tcW w:w="3402" w:type="dxa"/>
            <w:tcBorders>
              <w:top w:val="nil"/>
            </w:tcBorders>
            <w:shd w:val="clear" w:color="auto" w:fill="auto"/>
          </w:tcPr>
          <w:p w:rsidR="00614306" w:rsidRDefault="00614306" w:rsidP="00614306">
            <w:pPr>
              <w:spacing w:before="40" w:after="40"/>
              <w:rPr>
                <w:rFonts w:cs="Arial"/>
                <w:color w:val="000000"/>
              </w:rPr>
            </w:pPr>
            <w:r>
              <w:rPr>
                <w:rFonts w:cs="Arial"/>
                <w:color w:val="000000"/>
              </w:rPr>
              <w:t>Safeguarding service users' finances in the Supported Living Service.</w:t>
            </w:r>
          </w:p>
        </w:tc>
        <w:tc>
          <w:tcPr>
            <w:tcW w:w="4394" w:type="dxa"/>
            <w:tcBorders>
              <w:top w:val="nil"/>
            </w:tcBorders>
            <w:shd w:val="clear" w:color="auto" w:fill="auto"/>
            <w:noWrap/>
          </w:tcPr>
          <w:p w:rsidR="00614306" w:rsidRDefault="00614306" w:rsidP="00614306">
            <w:pPr>
              <w:spacing w:before="40" w:after="40"/>
              <w:rPr>
                <w:rFonts w:cs="Arial"/>
                <w:color w:val="000000"/>
              </w:rPr>
            </w:pPr>
            <w:r>
              <w:rPr>
                <w:rFonts w:cs="Arial"/>
                <w:color w:val="000000"/>
              </w:rPr>
              <w:t>An assessment of the adequacy and effectiveness of the arrangements in place to ensure that the finances of service users who lack capacity are safeguarded. (2019-14)</w:t>
            </w:r>
          </w:p>
        </w:tc>
        <w:tc>
          <w:tcPr>
            <w:tcW w:w="851" w:type="dxa"/>
            <w:tcBorders>
              <w:top w:val="nil"/>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tcBorders>
          </w:tcPr>
          <w:p w:rsidR="00614306" w:rsidRPr="00146E1E" w:rsidRDefault="00614306" w:rsidP="00614306">
            <w:pPr>
              <w:spacing w:before="40" w:after="40"/>
              <w:rPr>
                <w:rFonts w:cs="Arial"/>
                <w:color w:val="000000"/>
              </w:rPr>
            </w:pPr>
            <w:r w:rsidRPr="005B1C30">
              <w:rPr>
                <w:rFonts w:cs="Arial"/>
                <w:color w:val="000000"/>
              </w:rPr>
              <w:t>The lack of compliance with policy requirements in a number of areas and limited managerial checks expose service users to the risk that any misuse or mismanagement of their finances would be difficult to detect and address.</w:t>
            </w:r>
          </w:p>
        </w:tc>
        <w:tc>
          <w:tcPr>
            <w:tcW w:w="1559" w:type="dxa"/>
            <w:tcBorders>
              <w:top w:val="nil"/>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tcBorders>
          </w:tcPr>
          <w:p w:rsidR="00614306" w:rsidRPr="00F46785" w:rsidRDefault="00614306" w:rsidP="00614306">
            <w:pPr>
              <w:spacing w:before="40" w:after="40"/>
              <w:rPr>
                <w:rFonts w:cs="Arial"/>
                <w:color w:val="000000"/>
              </w:rPr>
            </w:pPr>
            <w:r w:rsidRPr="00F46785">
              <w:rPr>
                <w:rFonts w:cs="Arial"/>
                <w:color w:val="000000"/>
              </w:rPr>
              <w:t>Limited</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Disability Services</w:t>
            </w:r>
          </w:p>
        </w:tc>
        <w:tc>
          <w:tcPr>
            <w:tcW w:w="3402" w:type="dxa"/>
            <w:shd w:val="clear" w:color="auto" w:fill="auto"/>
          </w:tcPr>
          <w:p w:rsidR="00614306" w:rsidRDefault="00614306" w:rsidP="00614306">
            <w:pPr>
              <w:spacing w:before="40" w:after="40"/>
              <w:rPr>
                <w:rFonts w:cs="Arial"/>
                <w:color w:val="000000"/>
              </w:rPr>
            </w:pPr>
            <w:r>
              <w:rPr>
                <w:rFonts w:cs="Arial"/>
                <w:color w:val="000000"/>
              </w:rPr>
              <w:t>Shared Lives recruitment</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An assessment of the adequacy and effectiveness of the recruitment process, with a focus on transparency, compliance with policy and guidance, and the benefits of the panel approval process. (2019-15)</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tcPr>
          <w:p w:rsidR="00614306" w:rsidRPr="00146E1E" w:rsidRDefault="00614306" w:rsidP="00614306">
            <w:pPr>
              <w:spacing w:before="40" w:after="40"/>
              <w:rPr>
                <w:rFonts w:cs="Arial"/>
                <w:color w:val="000000"/>
              </w:rPr>
            </w:pPr>
            <w:r w:rsidRPr="005B1C30">
              <w:rPr>
                <w:rFonts w:cs="Arial"/>
                <w:color w:val="000000"/>
              </w:rPr>
              <w:t>The panel approval process is effective in ensuring that applications are subject to appropriate scrutiny and challenge but there are weaknesses in recording fundamental steps and a failure to ensure that carers complete mandatory training promptly.</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Disability Services</w:t>
            </w:r>
          </w:p>
        </w:tc>
        <w:tc>
          <w:tcPr>
            <w:tcW w:w="3402" w:type="dxa"/>
            <w:shd w:val="clear" w:color="auto" w:fill="auto"/>
          </w:tcPr>
          <w:p w:rsidR="00614306" w:rsidRDefault="00614306" w:rsidP="00614306">
            <w:pPr>
              <w:spacing w:before="40" w:after="40"/>
              <w:rPr>
                <w:rFonts w:cs="Arial"/>
                <w:color w:val="000000"/>
              </w:rPr>
            </w:pPr>
            <w:r>
              <w:rPr>
                <w:rFonts w:cs="Arial"/>
                <w:color w:val="000000"/>
              </w:rPr>
              <w:t>Sickness absence arrangements</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 review to assess compliance with the sickness absence policy for both short term and long term absence by operational managers, including the case review process and referrals to occupational health. (2019-16)</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tcPr>
          <w:p w:rsidR="00614306" w:rsidRPr="00AD47C0" w:rsidRDefault="00614306" w:rsidP="00614306">
            <w:pPr>
              <w:spacing w:before="40" w:after="40"/>
              <w:rPr>
                <w:rFonts w:cs="Arial"/>
                <w:color w:val="000000"/>
              </w:rPr>
            </w:pPr>
            <w:r w:rsidRPr="00AD47C0">
              <w:rPr>
                <w:rFonts w:cs="Arial"/>
                <w:color w:val="000000"/>
              </w:rPr>
              <w:t>There are some areas of good practice, but also deficiencies in managing staff returning to work after sickness absence and in the documentation held.</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Patient Safety &amp; Safeguarding</w:t>
            </w:r>
          </w:p>
        </w:tc>
        <w:tc>
          <w:tcPr>
            <w:tcW w:w="3402" w:type="dxa"/>
            <w:shd w:val="clear" w:color="auto" w:fill="auto"/>
          </w:tcPr>
          <w:p w:rsidR="00614306" w:rsidRDefault="00614306" w:rsidP="00614306">
            <w:pPr>
              <w:spacing w:before="40" w:after="40"/>
              <w:rPr>
                <w:rFonts w:cs="Arial"/>
                <w:color w:val="000000"/>
              </w:rPr>
            </w:pPr>
            <w:r>
              <w:rPr>
                <w:rFonts w:cs="Arial"/>
                <w:color w:val="000000"/>
              </w:rPr>
              <w:t>Operation of the residential quality assurance framework</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Consideration of the adequacy and effectiveness of the improvement programme being developed to drive improvements in service delivery across the regulated care sector. (2019-17)</w:t>
            </w:r>
          </w:p>
        </w:tc>
        <w:tc>
          <w:tcPr>
            <w:tcW w:w="851" w:type="dxa"/>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top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top w:val="single" w:sz="4" w:space="0" w:color="auto"/>
            </w:tcBorders>
            <w:shd w:val="clear" w:color="auto" w:fill="auto"/>
          </w:tcPr>
          <w:p w:rsidR="00614306" w:rsidRPr="009C64B7"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Patient Safety &amp; Safeguarding</w:t>
            </w:r>
          </w:p>
        </w:tc>
        <w:tc>
          <w:tcPr>
            <w:tcW w:w="3402" w:type="dxa"/>
            <w:shd w:val="clear" w:color="auto" w:fill="auto"/>
          </w:tcPr>
          <w:p w:rsidR="00614306" w:rsidRDefault="00614306" w:rsidP="00614306">
            <w:pPr>
              <w:spacing w:before="40" w:after="40"/>
              <w:rPr>
                <w:rFonts w:cs="Arial"/>
                <w:color w:val="000000"/>
              </w:rPr>
            </w:pPr>
            <w:r>
              <w:rPr>
                <w:rFonts w:cs="Arial"/>
                <w:color w:val="000000"/>
              </w:rPr>
              <w:t>Operation of the non-residential quality assurance framework</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Consideration of the adequacy and effectiveness of the improvement programme being developed to drive improvements in service delivery across the regulated care sector. (2019-18)</w:t>
            </w:r>
          </w:p>
        </w:tc>
        <w:tc>
          <w:tcPr>
            <w:tcW w:w="851" w:type="dxa"/>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top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top w:val="single" w:sz="4" w:space="0" w:color="auto"/>
            </w:tcBorders>
            <w:shd w:val="clear" w:color="auto" w:fill="auto"/>
          </w:tcPr>
          <w:p w:rsidR="00614306" w:rsidRPr="009C64B7"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Patient Safety &amp; Safeguarding</w:t>
            </w:r>
          </w:p>
        </w:tc>
        <w:tc>
          <w:tcPr>
            <w:tcW w:w="3402" w:type="dxa"/>
            <w:shd w:val="clear" w:color="auto" w:fill="auto"/>
          </w:tcPr>
          <w:p w:rsidR="00614306" w:rsidRDefault="00614306" w:rsidP="00614306">
            <w:pPr>
              <w:spacing w:before="40" w:after="40"/>
              <w:rPr>
                <w:rFonts w:cs="Arial"/>
                <w:color w:val="000000"/>
              </w:rPr>
            </w:pPr>
            <w:r>
              <w:rPr>
                <w:rFonts w:cs="Arial"/>
                <w:color w:val="000000"/>
              </w:rPr>
              <w:t>Safeguarding vulnerable adults</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Audit of the arrangements to address safeguarding concerns including reporting to the Lancashire Safeguarding Adults Board. (2019-19)</w:t>
            </w:r>
          </w:p>
        </w:tc>
        <w:tc>
          <w:tcPr>
            <w:tcW w:w="851" w:type="dxa"/>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shd w:val="clear" w:color="auto" w:fill="auto"/>
          </w:tcPr>
          <w:p w:rsidR="00614306" w:rsidRPr="00146E1E" w:rsidRDefault="00614306" w:rsidP="00614306">
            <w:pPr>
              <w:spacing w:before="40" w:after="40"/>
              <w:rPr>
                <w:rFonts w:cs="Arial"/>
                <w:color w:val="000000"/>
              </w:rPr>
            </w:pPr>
            <w:r>
              <w:rPr>
                <w:rFonts w:cs="Arial"/>
                <w:color w:val="000000"/>
              </w:rPr>
              <w:t>The arrangements were not sufficiently settled during the year to support this audit work.</w:t>
            </w:r>
          </w:p>
        </w:tc>
        <w:tc>
          <w:tcPr>
            <w:tcW w:w="1559" w:type="dxa"/>
            <w:tcBorders>
              <w:top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tcBorders>
            <w:shd w:val="clear" w:color="auto" w:fill="auto"/>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tcBorders>
            <w:shd w:val="clear" w:color="auto" w:fill="auto"/>
          </w:tcPr>
          <w:p w:rsidR="00614306" w:rsidRPr="00A14D0F"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Exchequer Services</w:t>
            </w:r>
          </w:p>
        </w:tc>
        <w:tc>
          <w:tcPr>
            <w:tcW w:w="3402" w:type="dxa"/>
            <w:shd w:val="clear" w:color="auto" w:fill="auto"/>
          </w:tcPr>
          <w:p w:rsidR="00614306" w:rsidRDefault="00614306" w:rsidP="00614306">
            <w:pPr>
              <w:spacing w:before="40" w:after="40"/>
              <w:rPr>
                <w:rFonts w:cs="Arial"/>
                <w:color w:val="000000"/>
              </w:rPr>
            </w:pPr>
            <w:r>
              <w:rPr>
                <w:rFonts w:cs="Arial"/>
                <w:color w:val="000000"/>
              </w:rPr>
              <w:t>Direct payments: adults' financial reviews</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Assessment of the scope, frequency and timeliness of reviews of service users' expenditure of direct payments, including both desk-top reviews and visits to service users. (2019-20)</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tcPr>
          <w:p w:rsidR="00614306" w:rsidRPr="00B5279E" w:rsidRDefault="00614306" w:rsidP="00614306">
            <w:pPr>
              <w:spacing w:before="40" w:after="40"/>
              <w:rPr>
                <w:rFonts w:cs="Arial"/>
                <w:color w:val="000000"/>
              </w:rPr>
            </w:pPr>
            <w:r w:rsidRPr="00D55305">
              <w:rPr>
                <w:rFonts w:cs="Arial"/>
                <w:color w:val="000000"/>
              </w:rPr>
              <w:t>Financial assessment officers in the Finance Directorate follow robust procedures supported by process checklists, policies and guidance. Direct payment agreements are scheduled for review in accordance with their assessed risk and review schedules are monitored and managed.</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Default="00614306" w:rsidP="00614306">
            <w:pPr>
              <w:spacing w:before="40" w:after="40"/>
              <w:jc w:val="center"/>
              <w:rPr>
                <w:rFonts w:cs="Arial"/>
              </w:rPr>
            </w:pPr>
            <w:r>
              <w:rPr>
                <w:rFonts w:ascii="Wingdings" w:hAnsi="Wingdings" w:cs="Arial"/>
                <w:color w:val="000000"/>
              </w:rPr>
              <w:sym w:font="Wingdings" w:char="F0FC"/>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rPr>
              <w:t>Moderate</w:t>
            </w:r>
          </w:p>
        </w:tc>
      </w:tr>
      <w:tr w:rsidR="009C49B5" w:rsidTr="000B2EFC">
        <w:trPr>
          <w:trHeight w:val="300"/>
        </w:trPr>
        <w:tc>
          <w:tcPr>
            <w:tcW w:w="2410"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Policy, Information and Commissioning</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Policy development</w:t>
            </w:r>
          </w:p>
        </w:tc>
        <w:tc>
          <w:tcPr>
            <w:tcW w:w="4394" w:type="dxa"/>
            <w:tcBorders>
              <w:bottom w:val="single" w:sz="4" w:space="0" w:color="auto"/>
            </w:tcBorders>
            <w:shd w:val="clear" w:color="auto" w:fill="auto"/>
            <w:noWrap/>
          </w:tcPr>
          <w:p w:rsidR="00614306" w:rsidRDefault="00614306" w:rsidP="00614306">
            <w:pPr>
              <w:spacing w:before="40" w:after="40"/>
              <w:rPr>
                <w:rFonts w:cs="Arial"/>
              </w:rPr>
            </w:pPr>
            <w:r>
              <w:rPr>
                <w:rFonts w:cs="Arial"/>
              </w:rPr>
              <w:t xml:space="preserve">Input as a critical friend to the ongoing review and update of adult social care policies, to ensure Care Act compliance. </w:t>
            </w:r>
            <w:r>
              <w:rPr>
                <w:rFonts w:cs="Arial"/>
                <w:color w:val="000000"/>
              </w:rPr>
              <w:t>(2019-22)</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single" w:sz="4" w:space="0" w:color="auto"/>
              <w:bottom w:val="single" w:sz="4" w:space="0" w:color="auto"/>
            </w:tcBorders>
          </w:tcPr>
          <w:p w:rsidR="00614306" w:rsidRPr="00D55305" w:rsidRDefault="00614306" w:rsidP="00614306">
            <w:pPr>
              <w:spacing w:before="40" w:after="40"/>
              <w:rPr>
                <w:rFonts w:cs="Arial"/>
                <w:color w:val="000000"/>
              </w:rPr>
            </w:pPr>
            <w:r w:rsidRPr="00D55305">
              <w:rPr>
                <w:rFonts w:cs="Arial"/>
                <w:color w:val="000000"/>
              </w:rPr>
              <w:t>There is some good practice in the current policy development processes and a good basis to establish a more robust and structured framework going forward.</w:t>
            </w:r>
          </w:p>
        </w:tc>
        <w:tc>
          <w:tcPr>
            <w:tcW w:w="1559" w:type="dxa"/>
            <w:tcBorders>
              <w:top w:val="single" w:sz="4" w:space="0" w:color="auto"/>
              <w:bottom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Default="00614306" w:rsidP="00614306">
            <w:pPr>
              <w:spacing w:before="40" w:after="40"/>
              <w:jc w:val="center"/>
              <w:rPr>
                <w:rFonts w:cs="Arial"/>
              </w:rPr>
            </w:pPr>
            <w:r>
              <w:rPr>
                <w:rFonts w:ascii="Wingdings" w:hAnsi="Wingdings" w:cs="Arial"/>
                <w:color w:val="000000"/>
              </w:rPr>
              <w:sym w:font="Wingdings" w:char="F0FC"/>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rPr>
              <w:t>Moderate</w:t>
            </w:r>
          </w:p>
        </w:tc>
      </w:tr>
      <w:tr w:rsidR="000B2EFC" w:rsidTr="000B2EFC">
        <w:trPr>
          <w:trHeight w:val="300"/>
        </w:trPr>
        <w:tc>
          <w:tcPr>
            <w:tcW w:w="2410" w:type="dxa"/>
            <w:tcBorders>
              <w:left w:val="nil"/>
              <w:bottom w:val="nil"/>
              <w:right w:val="nil"/>
            </w:tcBorders>
            <w:shd w:val="clear" w:color="auto" w:fill="auto"/>
            <w:noWrap/>
          </w:tcPr>
          <w:p w:rsidR="000B2EFC" w:rsidRDefault="000B2EFC" w:rsidP="00614306">
            <w:pPr>
              <w:spacing w:before="40" w:after="40"/>
              <w:rPr>
                <w:rFonts w:cs="Arial"/>
                <w:color w:val="000000"/>
              </w:rPr>
            </w:pPr>
          </w:p>
          <w:p w:rsidR="000B2EFC" w:rsidRDefault="000B2EFC" w:rsidP="00614306">
            <w:pPr>
              <w:spacing w:before="40" w:after="40"/>
              <w:rPr>
                <w:rFonts w:cs="Arial"/>
                <w:color w:val="000000"/>
              </w:rPr>
            </w:pPr>
          </w:p>
        </w:tc>
        <w:tc>
          <w:tcPr>
            <w:tcW w:w="3402" w:type="dxa"/>
            <w:tcBorders>
              <w:left w:val="nil"/>
              <w:bottom w:val="nil"/>
              <w:right w:val="nil"/>
            </w:tcBorders>
            <w:shd w:val="clear" w:color="auto" w:fill="auto"/>
          </w:tcPr>
          <w:p w:rsidR="000B2EFC" w:rsidRDefault="000B2EFC" w:rsidP="00614306">
            <w:pPr>
              <w:spacing w:before="40" w:after="40"/>
              <w:rPr>
                <w:rFonts w:cs="Arial"/>
                <w:color w:val="000000"/>
              </w:rPr>
            </w:pPr>
          </w:p>
        </w:tc>
        <w:tc>
          <w:tcPr>
            <w:tcW w:w="4394" w:type="dxa"/>
            <w:tcBorders>
              <w:left w:val="nil"/>
              <w:bottom w:val="nil"/>
              <w:right w:val="nil"/>
            </w:tcBorders>
            <w:shd w:val="clear" w:color="auto" w:fill="auto"/>
            <w:noWrap/>
          </w:tcPr>
          <w:p w:rsidR="000B2EFC" w:rsidRDefault="000B2EFC" w:rsidP="00614306">
            <w:pPr>
              <w:spacing w:before="40" w:after="40"/>
              <w:rPr>
                <w:rFonts w:cs="Arial"/>
              </w:rPr>
            </w:pPr>
          </w:p>
        </w:tc>
        <w:tc>
          <w:tcPr>
            <w:tcW w:w="851" w:type="dxa"/>
            <w:tcBorders>
              <w:left w:val="nil"/>
              <w:bottom w:val="nil"/>
              <w:right w:val="nil"/>
            </w:tcBorders>
            <w:tcMar>
              <w:right w:w="108" w:type="dxa"/>
            </w:tcMar>
          </w:tcPr>
          <w:p w:rsidR="000B2EFC" w:rsidRDefault="000B2EFC" w:rsidP="00614306">
            <w:pPr>
              <w:spacing w:before="40" w:after="40"/>
              <w:jc w:val="center"/>
              <w:rPr>
                <w:rFonts w:cs="Arial"/>
                <w:color w:val="000000"/>
              </w:rPr>
            </w:pPr>
          </w:p>
        </w:tc>
        <w:tc>
          <w:tcPr>
            <w:tcW w:w="5812" w:type="dxa"/>
            <w:tcBorders>
              <w:top w:val="single" w:sz="4" w:space="0" w:color="auto"/>
              <w:left w:val="nil"/>
              <w:bottom w:val="nil"/>
              <w:right w:val="nil"/>
            </w:tcBorders>
          </w:tcPr>
          <w:p w:rsidR="000B2EFC" w:rsidRPr="00D55305" w:rsidRDefault="000B2EFC" w:rsidP="00614306">
            <w:pPr>
              <w:spacing w:before="40" w:after="40"/>
              <w:rPr>
                <w:rFonts w:cs="Arial"/>
                <w:color w:val="000000"/>
              </w:rPr>
            </w:pPr>
          </w:p>
        </w:tc>
        <w:tc>
          <w:tcPr>
            <w:tcW w:w="1559" w:type="dxa"/>
            <w:tcBorders>
              <w:top w:val="single" w:sz="4" w:space="0" w:color="auto"/>
              <w:left w:val="nil"/>
              <w:bottom w:val="nil"/>
              <w:right w:val="nil"/>
            </w:tcBorders>
          </w:tcPr>
          <w:p w:rsidR="000B2EFC" w:rsidRDefault="000B2EFC" w:rsidP="00614306">
            <w:pPr>
              <w:spacing w:before="40" w:after="40"/>
              <w:jc w:val="center"/>
              <w:rPr>
                <w:rFonts w:ascii="Wingdings" w:hAnsi="Wingdings" w:cs="Arial"/>
                <w:color w:val="000000"/>
              </w:rPr>
            </w:pPr>
          </w:p>
        </w:tc>
        <w:tc>
          <w:tcPr>
            <w:tcW w:w="1134" w:type="dxa"/>
            <w:tcBorders>
              <w:top w:val="single" w:sz="4" w:space="0" w:color="auto"/>
              <w:left w:val="nil"/>
              <w:bottom w:val="nil"/>
              <w:right w:val="nil"/>
            </w:tcBorders>
          </w:tcPr>
          <w:p w:rsidR="000B2EFC" w:rsidRDefault="000B2EFC" w:rsidP="00614306">
            <w:pPr>
              <w:spacing w:before="40" w:after="40"/>
              <w:jc w:val="center"/>
              <w:rPr>
                <w:rFonts w:ascii="Wingdings" w:hAnsi="Wingdings" w:cs="Arial"/>
                <w:color w:val="000000"/>
              </w:rPr>
            </w:pPr>
          </w:p>
        </w:tc>
        <w:tc>
          <w:tcPr>
            <w:tcW w:w="1559" w:type="dxa"/>
            <w:tcBorders>
              <w:top w:val="single" w:sz="4" w:space="0" w:color="auto"/>
              <w:left w:val="nil"/>
              <w:bottom w:val="nil"/>
              <w:right w:val="nil"/>
            </w:tcBorders>
          </w:tcPr>
          <w:p w:rsidR="000B2EFC" w:rsidRPr="00F46785" w:rsidRDefault="000B2EFC" w:rsidP="00614306">
            <w:pPr>
              <w:spacing w:before="40" w:after="40"/>
              <w:rPr>
                <w:rFonts w:cs="Arial"/>
              </w:rPr>
            </w:pPr>
          </w:p>
        </w:tc>
      </w:tr>
      <w:tr w:rsidR="009C49B5" w:rsidTr="000B2EFC">
        <w:trPr>
          <w:trHeight w:val="300"/>
        </w:trPr>
        <w:tc>
          <w:tcPr>
            <w:tcW w:w="2410" w:type="dxa"/>
            <w:tcBorders>
              <w:top w:val="nil"/>
            </w:tcBorders>
            <w:shd w:val="clear" w:color="auto" w:fill="auto"/>
            <w:noWrap/>
          </w:tcPr>
          <w:p w:rsidR="00614306" w:rsidRDefault="00614306" w:rsidP="00614306">
            <w:pPr>
              <w:spacing w:before="40" w:after="40"/>
              <w:rPr>
                <w:rFonts w:cs="Arial"/>
                <w:color w:val="000000"/>
              </w:rPr>
            </w:pPr>
            <w:r>
              <w:rPr>
                <w:rFonts w:cs="Arial"/>
                <w:color w:val="000000"/>
              </w:rPr>
              <w:lastRenderedPageBreak/>
              <w:t>Legal, Governance and Registrars</w:t>
            </w:r>
          </w:p>
        </w:tc>
        <w:tc>
          <w:tcPr>
            <w:tcW w:w="3402" w:type="dxa"/>
            <w:tcBorders>
              <w:top w:val="nil"/>
            </w:tcBorders>
            <w:shd w:val="clear" w:color="auto" w:fill="auto"/>
          </w:tcPr>
          <w:p w:rsidR="00614306" w:rsidRDefault="00614306" w:rsidP="00614306">
            <w:pPr>
              <w:spacing w:before="40" w:after="40"/>
              <w:rPr>
                <w:rFonts w:cs="Arial"/>
                <w:color w:val="000000"/>
              </w:rPr>
            </w:pPr>
            <w:r>
              <w:rPr>
                <w:rFonts w:cs="Arial"/>
                <w:color w:val="000000"/>
              </w:rPr>
              <w:t>Adult social care complaints</w:t>
            </w:r>
          </w:p>
        </w:tc>
        <w:tc>
          <w:tcPr>
            <w:tcW w:w="4394" w:type="dxa"/>
            <w:tcBorders>
              <w:top w:val="nil"/>
            </w:tcBorders>
            <w:shd w:val="clear" w:color="auto" w:fill="auto"/>
            <w:noWrap/>
          </w:tcPr>
          <w:p w:rsidR="00614306" w:rsidRDefault="00614306" w:rsidP="00614306">
            <w:pPr>
              <w:spacing w:before="40" w:after="40"/>
              <w:rPr>
                <w:rFonts w:cs="Arial"/>
                <w:color w:val="000000"/>
              </w:rPr>
            </w:pPr>
            <w:r>
              <w:rPr>
                <w:rFonts w:cs="Arial"/>
                <w:color w:val="000000"/>
              </w:rPr>
              <w:t>Consideration whether the service is appropriately identifying the lessons learned from complaints and amending its practices and procedures to improve service provision. (2019-23)</w:t>
            </w:r>
          </w:p>
        </w:tc>
        <w:tc>
          <w:tcPr>
            <w:tcW w:w="851" w:type="dxa"/>
            <w:tcBorders>
              <w:top w:val="nil"/>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tcBorders>
          </w:tcPr>
          <w:p w:rsidR="00614306" w:rsidRPr="00D51E00" w:rsidRDefault="00614306" w:rsidP="00614306">
            <w:pPr>
              <w:spacing w:before="40" w:after="40"/>
              <w:rPr>
                <w:rFonts w:cs="Arial"/>
                <w:color w:val="000000"/>
              </w:rPr>
            </w:pPr>
            <w:r w:rsidRPr="00D51E00">
              <w:rPr>
                <w:rFonts w:cs="Arial"/>
                <w:color w:val="000000"/>
              </w:rPr>
              <w:t>Some good practice is in place and lessons are generally learned from complaints, but the process could be improved further, particularly in respect of joint complaints about the council and NHS bodies, and in promoting changes to operational activity.</w:t>
            </w:r>
          </w:p>
        </w:tc>
        <w:tc>
          <w:tcPr>
            <w:tcW w:w="1559" w:type="dxa"/>
            <w:tcBorders>
              <w:top w:val="nil"/>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tcBorders>
          </w:tcPr>
          <w:p w:rsidR="00614306" w:rsidRPr="00A14D0F" w:rsidRDefault="00614306" w:rsidP="00614306">
            <w:pPr>
              <w:spacing w:before="40" w:after="40"/>
              <w:jc w:val="center"/>
              <w:rPr>
                <w:rFonts w:cs="Arial"/>
                <w:color w:val="000000"/>
              </w:rPr>
            </w:pPr>
            <w:r>
              <w:rPr>
                <w:rFonts w:cs="Arial"/>
                <w:color w:val="000000"/>
              </w:rPr>
              <w:t>X</w:t>
            </w:r>
          </w:p>
        </w:tc>
        <w:tc>
          <w:tcPr>
            <w:tcW w:w="1559" w:type="dxa"/>
            <w:tcBorders>
              <w:top w:val="nil"/>
            </w:tcBorders>
          </w:tcPr>
          <w:p w:rsidR="00614306" w:rsidRPr="00F46785" w:rsidRDefault="00614306" w:rsidP="00614306">
            <w:pPr>
              <w:spacing w:before="40" w:after="40"/>
              <w:rPr>
                <w:rFonts w:cs="Arial"/>
                <w:color w:val="000000"/>
              </w:rPr>
            </w:pPr>
            <w:r w:rsidRPr="00F46785">
              <w:rPr>
                <w:rFonts w:cs="Arial"/>
              </w:rPr>
              <w:t>Moderate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A sample of all</w:t>
            </w:r>
          </w:p>
        </w:tc>
        <w:tc>
          <w:tcPr>
            <w:tcW w:w="3402" w:type="dxa"/>
            <w:shd w:val="clear" w:color="auto" w:fill="auto"/>
          </w:tcPr>
          <w:p w:rsidR="00614306" w:rsidRDefault="00614306" w:rsidP="00614306">
            <w:pPr>
              <w:spacing w:before="40" w:after="40"/>
              <w:rPr>
                <w:rFonts w:cs="Arial"/>
                <w:color w:val="000000"/>
              </w:rPr>
            </w:pPr>
            <w:r>
              <w:rPr>
                <w:rFonts w:cs="Arial"/>
                <w:color w:val="000000"/>
              </w:rPr>
              <w:t xml:space="preserve">Business continuity arrangements </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An assessment of the business continuity arrangements across adult social care services. (2019-24)</w:t>
            </w:r>
          </w:p>
        </w:tc>
        <w:tc>
          <w:tcPr>
            <w:tcW w:w="851" w:type="dxa"/>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top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top w:val="single" w:sz="4" w:space="0" w:color="auto"/>
            </w:tcBorders>
            <w:shd w:val="clear" w:color="auto" w:fill="auto"/>
          </w:tcPr>
          <w:p w:rsidR="00614306" w:rsidRPr="009C64B7"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Health Equity &amp; Partnerships</w:t>
            </w:r>
          </w:p>
        </w:tc>
        <w:tc>
          <w:tcPr>
            <w:tcW w:w="3402" w:type="dxa"/>
            <w:shd w:val="clear" w:color="auto" w:fill="auto"/>
          </w:tcPr>
          <w:p w:rsidR="00614306" w:rsidRDefault="00614306" w:rsidP="00614306">
            <w:pPr>
              <w:spacing w:before="40" w:after="40"/>
              <w:rPr>
                <w:rFonts w:cs="Arial"/>
                <w:color w:val="000000"/>
              </w:rPr>
            </w:pPr>
            <w:r>
              <w:rPr>
                <w:rFonts w:cs="Arial"/>
                <w:color w:val="000000"/>
              </w:rPr>
              <w:t>Contract monitoring: 0-19 years' health care professionals</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Assessment of the adequacy of the contract monitoring arrangements to ensure that the service is provided to appropriate standards and ensures service user outcomes are achieved. (2019-25)</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tcPr>
          <w:p w:rsidR="00614306" w:rsidRPr="00146E1E" w:rsidRDefault="00614306" w:rsidP="00614306">
            <w:pPr>
              <w:spacing w:before="40" w:after="40"/>
              <w:rPr>
                <w:rFonts w:cs="Arial"/>
                <w:color w:val="000000"/>
              </w:rPr>
            </w:pPr>
            <w:r>
              <w:rPr>
                <w:rFonts w:cs="Arial"/>
              </w:rPr>
              <w:t>After some initial problems, the contract is being appropriately monitored.</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Pr="00A14D0F" w:rsidRDefault="00614306" w:rsidP="00614306">
            <w:pPr>
              <w:spacing w:before="40" w:after="40"/>
              <w:jc w:val="center"/>
              <w:rPr>
                <w:rFonts w:cs="Arial"/>
                <w:color w:val="000000"/>
              </w:rPr>
            </w:pPr>
            <w:r>
              <w:rPr>
                <w:rFonts w:cs="Arial"/>
                <w:color w:val="000000"/>
              </w:rPr>
              <w:t>X</w:t>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Health Equity &amp; Partnerships</w:t>
            </w:r>
          </w:p>
        </w:tc>
        <w:tc>
          <w:tcPr>
            <w:tcW w:w="3402" w:type="dxa"/>
            <w:shd w:val="clear" w:color="auto" w:fill="auto"/>
          </w:tcPr>
          <w:p w:rsidR="00614306" w:rsidRDefault="00614306" w:rsidP="00614306">
            <w:pPr>
              <w:spacing w:before="40" w:after="40"/>
              <w:rPr>
                <w:rFonts w:cs="Arial"/>
                <w:color w:val="000000"/>
              </w:rPr>
            </w:pPr>
            <w:r>
              <w:rPr>
                <w:rFonts w:cs="Arial"/>
                <w:color w:val="000000"/>
              </w:rPr>
              <w:t xml:space="preserve">VIP enquiries </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Consideration of the adequacy and effectiveness of the case management arrangements to manage the demand for and response to VIP enquiries. (2019-26)</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tcPr>
          <w:p w:rsidR="00614306" w:rsidRPr="00B5279E" w:rsidRDefault="00614306" w:rsidP="00614306">
            <w:pPr>
              <w:spacing w:before="40" w:after="40"/>
              <w:rPr>
                <w:rFonts w:cs="Arial"/>
                <w:color w:val="000000"/>
              </w:rPr>
            </w:pPr>
            <w:r w:rsidRPr="00B5279E">
              <w:rPr>
                <w:rFonts w:cs="Arial"/>
                <w:color w:val="000000"/>
              </w:rPr>
              <w:t xml:space="preserve">The VIP communication system is adequately designed to manage and monitor enquiries received by the council. </w:t>
            </w:r>
          </w:p>
          <w:p w:rsidR="00614306" w:rsidRPr="00146E1E" w:rsidRDefault="00614306" w:rsidP="00614306">
            <w:pPr>
              <w:spacing w:before="40" w:after="40"/>
              <w:rPr>
                <w:rFonts w:cs="Arial"/>
                <w:color w:val="000000"/>
              </w:rPr>
            </w:pPr>
            <w:r>
              <w:rPr>
                <w:rFonts w:cs="Arial"/>
                <w:color w:val="000000"/>
              </w:rPr>
              <w:t xml:space="preserve">We identified no further changes that could reduce the resources </w:t>
            </w:r>
            <w:r w:rsidRPr="00B5279E">
              <w:rPr>
                <w:rFonts w:cs="Arial"/>
                <w:color w:val="000000"/>
              </w:rPr>
              <w:t xml:space="preserve">required </w:t>
            </w:r>
            <w:r>
              <w:rPr>
                <w:rFonts w:cs="Arial"/>
                <w:color w:val="000000"/>
              </w:rPr>
              <w:t xml:space="preserve">within the </w:t>
            </w:r>
            <w:r w:rsidRPr="00B5279E">
              <w:rPr>
                <w:rFonts w:cs="Arial"/>
                <w:color w:val="000000"/>
              </w:rPr>
              <w:t>Health, Equity and Partnerships service to respond to enquiries.</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Health Equity &amp; Partnerships</w:t>
            </w:r>
          </w:p>
        </w:tc>
        <w:tc>
          <w:tcPr>
            <w:tcW w:w="3402" w:type="dxa"/>
            <w:shd w:val="clear" w:color="auto" w:fill="auto"/>
          </w:tcPr>
          <w:p w:rsidR="00614306" w:rsidRDefault="00614306" w:rsidP="00614306">
            <w:pPr>
              <w:spacing w:before="40" w:after="40"/>
              <w:rPr>
                <w:rFonts w:cs="Arial"/>
                <w:color w:val="000000"/>
              </w:rPr>
            </w:pPr>
            <w:r>
              <w:rPr>
                <w:rFonts w:cs="Arial"/>
                <w:color w:val="000000"/>
              </w:rPr>
              <w:t>External sources of assurance over the council's activity and objectives</w:t>
            </w:r>
          </w:p>
        </w:tc>
        <w:tc>
          <w:tcPr>
            <w:tcW w:w="4394" w:type="dxa"/>
            <w:shd w:val="clear" w:color="auto" w:fill="auto"/>
            <w:noWrap/>
          </w:tcPr>
          <w:p w:rsidR="00614306" w:rsidRDefault="00614306" w:rsidP="00F948F5">
            <w:pPr>
              <w:spacing w:before="40" w:after="40"/>
              <w:rPr>
                <w:rFonts w:cs="Arial"/>
                <w:color w:val="000000"/>
              </w:rPr>
            </w:pPr>
            <w:r>
              <w:rPr>
                <w:rFonts w:cs="Arial"/>
                <w:color w:val="000000"/>
              </w:rPr>
              <w:t xml:space="preserve">Work with Mersey Internal Audit Agency </w:t>
            </w:r>
            <w:r w:rsidR="00D11ED1">
              <w:rPr>
                <w:rFonts w:cs="Arial"/>
                <w:color w:val="000000"/>
              </w:rPr>
              <w:t xml:space="preserve">(MIAA) </w:t>
            </w:r>
            <w:r>
              <w:rPr>
                <w:rFonts w:cs="Arial"/>
                <w:color w:val="000000"/>
              </w:rPr>
              <w:t>to understand their work in the region that may provide assurance over the council's objectives as well as those of MIAA's NHS clients. (2019-27)</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single" w:sz="4" w:space="0" w:color="auto"/>
            </w:tcBorders>
          </w:tcPr>
          <w:p w:rsidR="00614306" w:rsidRPr="00146E1E" w:rsidRDefault="00614306" w:rsidP="00D11ED1">
            <w:pPr>
              <w:spacing w:before="40" w:after="40"/>
              <w:rPr>
                <w:rFonts w:cs="Arial"/>
                <w:color w:val="000000"/>
              </w:rPr>
            </w:pPr>
            <w:r>
              <w:rPr>
                <w:rFonts w:cs="Arial"/>
                <w:color w:val="000000"/>
              </w:rPr>
              <w:t xml:space="preserve">This has been discussed with </w:t>
            </w:r>
            <w:r w:rsidR="00F948F5" w:rsidRPr="00F948F5">
              <w:rPr>
                <w:rFonts w:cs="Arial"/>
                <w:color w:val="000000"/>
              </w:rPr>
              <w:t xml:space="preserve">Mersey Internal Audit Agency </w:t>
            </w:r>
            <w:r>
              <w:rPr>
                <w:rFonts w:cs="Arial"/>
                <w:color w:val="000000"/>
              </w:rPr>
              <w:t>but has not yet resulted in any additional assurance relating to the council's partners in the NHS.</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Pr="00A14D0F" w:rsidRDefault="00614306" w:rsidP="00614306">
            <w:pPr>
              <w:spacing w:before="40" w:after="40"/>
              <w:jc w:val="center"/>
              <w:rPr>
                <w:rFonts w:cs="Arial"/>
                <w:color w:val="000000"/>
              </w:rPr>
            </w:pPr>
            <w:r>
              <w:rPr>
                <w:rFonts w:cs="Arial"/>
                <w:color w:val="000000"/>
              </w:rPr>
              <w:t>N/A</w:t>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Trading Standards &amp; Scientific Services</w:t>
            </w:r>
          </w:p>
        </w:tc>
        <w:tc>
          <w:tcPr>
            <w:tcW w:w="3402" w:type="dxa"/>
            <w:shd w:val="clear" w:color="auto" w:fill="auto"/>
          </w:tcPr>
          <w:p w:rsidR="00614306" w:rsidRDefault="00614306" w:rsidP="00614306">
            <w:pPr>
              <w:spacing w:before="40" w:after="40"/>
              <w:rPr>
                <w:rFonts w:cs="Arial"/>
                <w:color w:val="000000"/>
              </w:rPr>
            </w:pPr>
            <w:r>
              <w:rPr>
                <w:rFonts w:cs="Arial"/>
                <w:color w:val="000000"/>
              </w:rPr>
              <w:t>Safe Trader Scheme</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An assessment of the management and monitoring arrangements in place over the operation of the Safe Trader Scheme. (2019-28)</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tcPr>
          <w:p w:rsidR="00614306" w:rsidRPr="0010746F" w:rsidRDefault="00614306" w:rsidP="00614306">
            <w:pPr>
              <w:spacing w:before="40" w:after="40"/>
              <w:rPr>
                <w:rFonts w:cs="Arial"/>
                <w:color w:val="000000"/>
              </w:rPr>
            </w:pPr>
            <w:r w:rsidRPr="0010746F">
              <w:rPr>
                <w:rFonts w:cs="Arial"/>
                <w:color w:val="000000"/>
              </w:rPr>
              <w:t>Controls are adequately designed and effectively operated overall, but we found one lapse in control and agreed action to ensure that the council's income from the scheme is complete.</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Health, Safety &amp; Resilience</w:t>
            </w:r>
          </w:p>
        </w:tc>
        <w:tc>
          <w:tcPr>
            <w:tcW w:w="3402" w:type="dxa"/>
            <w:shd w:val="clear" w:color="auto" w:fill="auto"/>
          </w:tcPr>
          <w:p w:rsidR="00614306" w:rsidRDefault="00614306" w:rsidP="00614306">
            <w:pPr>
              <w:spacing w:before="40" w:after="40"/>
              <w:rPr>
                <w:rFonts w:cs="Arial"/>
                <w:color w:val="000000"/>
              </w:rPr>
            </w:pPr>
            <w:r>
              <w:rPr>
                <w:rFonts w:cs="Arial"/>
                <w:color w:val="000000"/>
              </w:rPr>
              <w:t>Educational off-site visits</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Assessment of the adequacy and effectiveness of the risk assessment process and the compliance checks conducted by the Health, Safety and Resilience team. (2019-29)</w:t>
            </w:r>
          </w:p>
        </w:tc>
        <w:tc>
          <w:tcPr>
            <w:tcW w:w="851" w:type="dxa"/>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tcPr>
          <w:p w:rsidR="00614306" w:rsidRPr="00AD025A" w:rsidRDefault="00614306" w:rsidP="00614306">
            <w:pPr>
              <w:spacing w:before="40" w:after="40"/>
              <w:rPr>
                <w:rFonts w:cs="Arial"/>
                <w:color w:val="000000"/>
              </w:rPr>
            </w:pPr>
            <w:r w:rsidRPr="00AD025A">
              <w:rPr>
                <w:rFonts w:cs="Arial"/>
                <w:color w:val="000000"/>
              </w:rPr>
              <w:t>The systems in place are well designed and subject to continual review and improvement, and we noted several areas of good practice.</w:t>
            </w:r>
          </w:p>
        </w:tc>
        <w:tc>
          <w:tcPr>
            <w:tcW w:w="1559" w:type="dxa"/>
            <w:tcBorders>
              <w:top w:val="single" w:sz="4" w:space="0" w:color="auto"/>
            </w:tcBorders>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shd w:val="clear" w:color="auto" w:fill="auto"/>
            <w:noWrap/>
          </w:tcPr>
          <w:p w:rsidR="00614306" w:rsidRDefault="00614306" w:rsidP="00614306">
            <w:pPr>
              <w:spacing w:before="40" w:after="40"/>
              <w:rPr>
                <w:rFonts w:cs="Arial"/>
                <w:color w:val="000000"/>
              </w:rPr>
            </w:pPr>
            <w:r>
              <w:rPr>
                <w:rFonts w:cs="Arial"/>
                <w:color w:val="000000"/>
              </w:rPr>
              <w:t>Health, Safety &amp; Resilience</w:t>
            </w:r>
          </w:p>
        </w:tc>
        <w:tc>
          <w:tcPr>
            <w:tcW w:w="3402" w:type="dxa"/>
            <w:shd w:val="clear" w:color="auto" w:fill="auto"/>
          </w:tcPr>
          <w:p w:rsidR="00614306" w:rsidRDefault="00614306" w:rsidP="00614306">
            <w:pPr>
              <w:spacing w:before="40" w:after="40"/>
              <w:rPr>
                <w:rFonts w:cs="Arial"/>
                <w:color w:val="000000"/>
              </w:rPr>
            </w:pPr>
            <w:r>
              <w:rPr>
                <w:rFonts w:cs="Arial"/>
                <w:color w:val="000000"/>
              </w:rPr>
              <w:t>Contract monitoring: Occupational Health Service</w:t>
            </w:r>
          </w:p>
        </w:tc>
        <w:tc>
          <w:tcPr>
            <w:tcW w:w="4394" w:type="dxa"/>
            <w:shd w:val="clear" w:color="auto" w:fill="auto"/>
            <w:noWrap/>
          </w:tcPr>
          <w:p w:rsidR="00614306" w:rsidRDefault="00614306" w:rsidP="00614306">
            <w:pPr>
              <w:spacing w:before="40" w:after="40"/>
              <w:rPr>
                <w:rFonts w:cs="Arial"/>
                <w:color w:val="000000"/>
              </w:rPr>
            </w:pPr>
            <w:r>
              <w:rPr>
                <w:rFonts w:cs="Arial"/>
                <w:color w:val="000000"/>
              </w:rPr>
              <w:t>Consideration of the adequacy and effectiveness of the council's oversight of the outsourced occupational health services. (2019-30)</w:t>
            </w:r>
          </w:p>
        </w:tc>
        <w:tc>
          <w:tcPr>
            <w:tcW w:w="851" w:type="dxa"/>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top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top w:val="single" w:sz="4" w:space="0" w:color="auto"/>
            </w:tcBorders>
            <w:shd w:val="clear" w:color="auto" w:fill="auto"/>
          </w:tcPr>
          <w:p w:rsidR="00614306" w:rsidRPr="009C64B7"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10206" w:type="dxa"/>
            <w:gridSpan w:val="3"/>
            <w:tcBorders>
              <w:top w:val="single" w:sz="4" w:space="0" w:color="auto"/>
              <w:right w:val="nil"/>
            </w:tcBorders>
            <w:shd w:val="clear" w:color="auto" w:fill="auto"/>
            <w:noWrap/>
          </w:tcPr>
          <w:p w:rsidR="00614306" w:rsidRPr="004B3DE9" w:rsidRDefault="00614306" w:rsidP="00614306">
            <w:pPr>
              <w:spacing w:before="60" w:after="60"/>
              <w:rPr>
                <w:rFonts w:cs="Arial"/>
                <w:b/>
                <w:color w:val="000000"/>
              </w:rPr>
            </w:pPr>
            <w:r w:rsidRPr="004B3DE9">
              <w:rPr>
                <w:rFonts w:cs="Arial"/>
                <w:b/>
                <w:color w:val="000000"/>
              </w:rPr>
              <w:t>Education &amp; Children's Services</w:t>
            </w:r>
          </w:p>
        </w:tc>
        <w:tc>
          <w:tcPr>
            <w:tcW w:w="851" w:type="dxa"/>
            <w:tcBorders>
              <w:top w:val="single" w:sz="4" w:space="0" w:color="auto"/>
              <w:left w:val="nil"/>
              <w:right w:val="nil"/>
            </w:tcBorders>
            <w:shd w:val="clear" w:color="auto" w:fill="auto"/>
            <w:tcMar>
              <w:right w:w="108" w:type="dxa"/>
            </w:tcMar>
          </w:tcPr>
          <w:p w:rsidR="00614306" w:rsidRPr="006E2BC6" w:rsidRDefault="00614306" w:rsidP="00614306">
            <w:pPr>
              <w:spacing w:before="60" w:after="60"/>
              <w:jc w:val="center"/>
              <w:rPr>
                <w:rFonts w:cs="Arial"/>
                <w:color w:val="000000"/>
              </w:rPr>
            </w:pPr>
          </w:p>
        </w:tc>
        <w:tc>
          <w:tcPr>
            <w:tcW w:w="5812" w:type="dxa"/>
            <w:tcBorders>
              <w:top w:val="single" w:sz="4" w:space="0" w:color="auto"/>
              <w:left w:val="nil"/>
              <w:right w:val="nil"/>
            </w:tcBorders>
            <w:shd w:val="clear" w:color="auto" w:fill="auto"/>
          </w:tcPr>
          <w:p w:rsidR="00614306" w:rsidRPr="0071307A" w:rsidRDefault="00614306" w:rsidP="00614306">
            <w:pPr>
              <w:spacing w:before="60" w:after="60"/>
              <w:rPr>
                <w:rFonts w:cs="Arial"/>
              </w:rPr>
            </w:pPr>
          </w:p>
        </w:tc>
        <w:tc>
          <w:tcPr>
            <w:tcW w:w="1559" w:type="dxa"/>
            <w:tcBorders>
              <w:top w:val="single" w:sz="4" w:space="0" w:color="auto"/>
              <w:left w:val="nil"/>
              <w:right w:val="nil"/>
            </w:tcBorders>
            <w:shd w:val="clear" w:color="auto" w:fill="auto"/>
          </w:tcPr>
          <w:p w:rsidR="00614306" w:rsidRPr="00534482" w:rsidRDefault="00614306" w:rsidP="00614306">
            <w:pPr>
              <w:spacing w:before="60" w:after="60"/>
              <w:rPr>
                <w:rFonts w:cs="Arial"/>
              </w:rPr>
            </w:pPr>
          </w:p>
        </w:tc>
        <w:tc>
          <w:tcPr>
            <w:tcW w:w="1134" w:type="dxa"/>
            <w:tcBorders>
              <w:top w:val="single" w:sz="4" w:space="0" w:color="auto"/>
              <w:left w:val="nil"/>
              <w:right w:val="nil"/>
            </w:tcBorders>
            <w:shd w:val="clear" w:color="auto" w:fill="auto"/>
          </w:tcPr>
          <w:p w:rsidR="00614306" w:rsidRPr="00534482" w:rsidRDefault="00614306" w:rsidP="00614306">
            <w:pPr>
              <w:spacing w:before="60" w:after="60"/>
              <w:jc w:val="center"/>
              <w:rPr>
                <w:rFonts w:cs="Arial"/>
              </w:rPr>
            </w:pPr>
          </w:p>
        </w:tc>
        <w:tc>
          <w:tcPr>
            <w:tcW w:w="1559" w:type="dxa"/>
            <w:tcBorders>
              <w:top w:val="single" w:sz="4" w:space="0" w:color="auto"/>
              <w:left w:val="nil"/>
            </w:tcBorders>
            <w:shd w:val="clear" w:color="auto" w:fill="auto"/>
          </w:tcPr>
          <w:p w:rsidR="00614306" w:rsidRPr="00534482" w:rsidRDefault="00614306" w:rsidP="00614306">
            <w:pPr>
              <w:spacing w:before="60" w:after="60"/>
              <w:rPr>
                <w:rFonts w:cs="Arial"/>
              </w:rPr>
            </w:pPr>
          </w:p>
        </w:tc>
      </w:tr>
      <w:tr w:rsidR="009C49B5" w:rsidTr="00614306">
        <w:trPr>
          <w:trHeight w:val="300"/>
        </w:trPr>
        <w:tc>
          <w:tcPr>
            <w:tcW w:w="2410"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Children's Social Care</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 xml:space="preserve">Delivery of the Children's Services improvement plan </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delivery against the improvement plan, including implementation of action, benefits realisation, service-level monitoring and reporting to the directorate management team. (2019-31)</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tcPr>
          <w:p w:rsidR="00614306" w:rsidRPr="0049246B" w:rsidRDefault="00614306" w:rsidP="00614306">
            <w:pPr>
              <w:spacing w:before="40" w:after="40"/>
              <w:rPr>
                <w:rFonts w:cs="Arial"/>
                <w:color w:val="000000"/>
              </w:rPr>
            </w:pPr>
            <w:r w:rsidRPr="0049246B">
              <w:rPr>
                <w:rFonts w:cs="Arial"/>
                <w:color w:val="000000"/>
              </w:rPr>
              <w:t>The framework of controls to govern the delivery of the Children's Services Improvement Plan is well designed and actively managed, but there are some weaknesses in the management of its delivery.</w:t>
            </w:r>
          </w:p>
        </w:tc>
        <w:tc>
          <w:tcPr>
            <w:tcW w:w="1559" w:type="dxa"/>
            <w:tcBorders>
              <w:top w:val="single" w:sz="4" w:space="0" w:color="auto"/>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lastRenderedPageBreak/>
              <w:t>Children's Social Care</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The Sufficiency Strategy for children looked after</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adequacy of controls to ensure that the strategy is implemented effectively. (2019-32)</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nil"/>
              <w:bottom w:val="single" w:sz="4" w:space="0" w:color="auto"/>
            </w:tcBorders>
          </w:tcPr>
          <w:p w:rsidR="00614306" w:rsidRPr="00D51E00" w:rsidRDefault="00614306" w:rsidP="00614306">
            <w:pPr>
              <w:spacing w:before="40" w:after="40"/>
              <w:rPr>
                <w:rFonts w:cs="Arial"/>
                <w:color w:val="000000"/>
              </w:rPr>
            </w:pPr>
            <w:r w:rsidRPr="00D51E00">
              <w:rPr>
                <w:rFonts w:cs="Arial"/>
                <w:color w:val="000000"/>
              </w:rPr>
              <w:t>Although the current strategy needs to be renewed, the key risks affecting its implementation are adequately controlled.</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Children's Social Care</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Prevention of child exploitation.</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compliance with the new process, including follow up of the actions agreed in 2018/19.  (2019-33)</w:t>
            </w:r>
          </w:p>
        </w:tc>
        <w:tc>
          <w:tcPr>
            <w:tcW w:w="851" w:type="dxa"/>
            <w:tcBorders>
              <w:top w:val="nil"/>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top w:val="nil"/>
              <w:bottom w:val="single" w:sz="4" w:space="0" w:color="auto"/>
            </w:tcBorders>
            <w:shd w:val="clear" w:color="auto" w:fill="auto"/>
          </w:tcPr>
          <w:p w:rsidR="00614306" w:rsidRPr="004B3DE9" w:rsidRDefault="00614306" w:rsidP="00614306">
            <w:pPr>
              <w:spacing w:before="40" w:after="40"/>
              <w:rPr>
                <w:rFonts w:cs="Arial"/>
                <w:color w:val="000000"/>
              </w:rPr>
            </w:pPr>
            <w:r w:rsidRPr="00F549CC">
              <w:rPr>
                <w:rFonts w:cs="Arial"/>
                <w:color w:val="000000"/>
              </w:rPr>
              <w:t>The council's responses to the risks of child exploitation have been reviewed and a revised action plan has been developed by the new management team. This audit has therefore been deferred.</w:t>
            </w:r>
          </w:p>
        </w:tc>
        <w:tc>
          <w:tcPr>
            <w:tcW w:w="1559" w:type="dxa"/>
            <w:tcBorders>
              <w:top w:val="nil"/>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X</w:t>
            </w:r>
          </w:p>
        </w:tc>
        <w:tc>
          <w:tcPr>
            <w:tcW w:w="1134" w:type="dxa"/>
            <w:tcBorders>
              <w:top w:val="nil"/>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N/A</w:t>
            </w:r>
          </w:p>
        </w:tc>
        <w:tc>
          <w:tcPr>
            <w:tcW w:w="1559" w:type="dxa"/>
            <w:tcBorders>
              <w:top w:val="nil"/>
              <w:bottom w:val="single" w:sz="4" w:space="0" w:color="auto"/>
            </w:tcBorders>
            <w:shd w:val="clear" w:color="auto" w:fill="auto"/>
          </w:tcPr>
          <w:p w:rsidR="00614306" w:rsidRPr="004B3DE9"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Children's Social Care</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Payments to external care providers</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effectiveness of controls for managing payments to external care providers, including their accuracy and validity. (2019-34)</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nil"/>
              <w:bottom w:val="single" w:sz="4" w:space="0" w:color="auto"/>
            </w:tcBorders>
          </w:tcPr>
          <w:p w:rsidR="00614306" w:rsidRPr="005E2371" w:rsidRDefault="00614306" w:rsidP="00614306">
            <w:pPr>
              <w:spacing w:before="40" w:after="40"/>
              <w:rPr>
                <w:rFonts w:cs="Arial"/>
                <w:color w:val="000000"/>
              </w:rPr>
            </w:pPr>
            <w:r w:rsidRPr="005E2371">
              <w:rPr>
                <w:rFonts w:cs="Arial"/>
                <w:color w:val="000000"/>
              </w:rPr>
              <w:t>The framework of controls in place should ensure that placements are generally available for children looked after by the council, but systemic delays in payments to providers place the availability of provision at risk.</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Children's Social Care</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Caseload management</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Audit of the controls to manage the allocation of casework to social workers. (2019-35)</w:t>
            </w:r>
          </w:p>
        </w:tc>
        <w:tc>
          <w:tcPr>
            <w:tcW w:w="851" w:type="dxa"/>
            <w:tcBorders>
              <w:top w:val="nil"/>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nil"/>
              <w:bottom w:val="single" w:sz="4" w:space="0" w:color="auto"/>
            </w:tcBorders>
            <w:shd w:val="clear" w:color="auto" w:fill="auto"/>
          </w:tcPr>
          <w:p w:rsidR="00614306" w:rsidRPr="004B3DE9" w:rsidRDefault="00614306" w:rsidP="00614306">
            <w:pPr>
              <w:spacing w:before="40" w:after="40"/>
              <w:rPr>
                <w:rFonts w:cs="Arial"/>
                <w:color w:val="000000"/>
              </w:rPr>
            </w:pPr>
            <w:r>
              <w:t xml:space="preserve">A revised social care safeguarding model is being developed which will considerably impact the allocation of social workers and the management of caseloads within </w:t>
            </w:r>
            <w:r w:rsidRPr="00D71995">
              <w:t>Children's Social Care</w:t>
            </w:r>
            <w:r>
              <w:t>. This audit has therefore been deferred.</w:t>
            </w:r>
          </w:p>
        </w:tc>
        <w:tc>
          <w:tcPr>
            <w:tcW w:w="1559" w:type="dxa"/>
            <w:tcBorders>
              <w:top w:val="nil"/>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X</w:t>
            </w:r>
          </w:p>
        </w:tc>
        <w:tc>
          <w:tcPr>
            <w:tcW w:w="1134" w:type="dxa"/>
            <w:tcBorders>
              <w:top w:val="nil"/>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Children's Social Care</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Supervision and support</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Audit of the adequacy and effectiveness of supervisions, including frequency, timeliness and impact. (2019-36)</w:t>
            </w:r>
          </w:p>
        </w:tc>
        <w:tc>
          <w:tcPr>
            <w:tcW w:w="851" w:type="dxa"/>
            <w:tcBorders>
              <w:top w:val="nil"/>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bottom w:val="single" w:sz="4" w:space="0" w:color="auto"/>
            </w:tcBorders>
            <w:shd w:val="clear" w:color="auto" w:fill="auto"/>
          </w:tcPr>
          <w:p w:rsidR="00614306" w:rsidRPr="004B3DE9"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top w:val="nil"/>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X</w:t>
            </w:r>
          </w:p>
        </w:tc>
        <w:tc>
          <w:tcPr>
            <w:tcW w:w="1134" w:type="dxa"/>
            <w:tcBorders>
              <w:top w:val="nil"/>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nil"/>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Children's Social Care</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Independent reviewing officers (IROs)</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Audit of the adequacy and effectiveness of the IROs' role in providing oversight and assurance over practice quality assurance. (2019-37)</w:t>
            </w:r>
          </w:p>
        </w:tc>
        <w:tc>
          <w:tcPr>
            <w:tcW w:w="851" w:type="dxa"/>
            <w:tcBorders>
              <w:top w:val="nil"/>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bottom w:val="single" w:sz="4" w:space="0" w:color="auto"/>
            </w:tcBorders>
            <w:shd w:val="clear" w:color="auto" w:fill="auto"/>
          </w:tcPr>
          <w:p w:rsidR="00614306" w:rsidRPr="004B3DE9"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top w:val="nil"/>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X</w:t>
            </w:r>
          </w:p>
        </w:tc>
        <w:tc>
          <w:tcPr>
            <w:tcW w:w="1134" w:type="dxa"/>
            <w:tcBorders>
              <w:top w:val="nil"/>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nil"/>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rPr>
            </w:pPr>
            <w:r>
              <w:rPr>
                <w:rFonts w:cs="Arial"/>
              </w:rPr>
              <w:t>Corporate Parenting</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Corporate Parenting Strategy</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Audit of the adequacy of controls to ensure that the corporate parenting strategy is implemented and effectively operated. (2019-38)</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nil"/>
              <w:bottom w:val="single" w:sz="4" w:space="0" w:color="auto"/>
            </w:tcBorders>
          </w:tcPr>
          <w:p w:rsidR="00614306" w:rsidRPr="00216DD0" w:rsidRDefault="00614306" w:rsidP="00614306">
            <w:pPr>
              <w:spacing w:before="40" w:after="40"/>
              <w:rPr>
                <w:rFonts w:cs="Arial"/>
                <w:color w:val="000000"/>
              </w:rPr>
            </w:pPr>
            <w:r w:rsidRPr="00216DD0">
              <w:rPr>
                <w:rFonts w:cs="Arial"/>
                <w:color w:val="000000"/>
              </w:rPr>
              <w:t>Proper arrangements have been put in place to implement the Corporate Parenting Strategy, but action is required to ensure that these arrangements work in practice.</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Inclusion</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sidRPr="00FE33AA">
              <w:rPr>
                <w:rFonts w:cs="Arial"/>
                <w:color w:val="000000"/>
              </w:rPr>
              <w:t>Special Educational Needs and Disabilities (SEND) Partnership</w:t>
            </w:r>
            <w:r>
              <w:rPr>
                <w:rFonts w:cs="Arial"/>
                <w:color w:val="000000"/>
              </w:rPr>
              <w:t xml:space="preserve"> improvement plan</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Assurance over the development and implementation of the improvement plan including governance structures, decision making and monitoring. (2019-39)</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bottom w:val="single" w:sz="4" w:space="0" w:color="auto"/>
            </w:tcBorders>
          </w:tcPr>
          <w:p w:rsidR="00614306" w:rsidRPr="00AD025A" w:rsidRDefault="00614306" w:rsidP="00614306">
            <w:pPr>
              <w:spacing w:before="40" w:after="40"/>
              <w:rPr>
                <w:rFonts w:cs="Arial"/>
                <w:color w:val="000000"/>
              </w:rPr>
            </w:pPr>
            <w:r w:rsidRPr="00AD025A">
              <w:rPr>
                <w:rFonts w:cs="Arial"/>
                <w:color w:val="000000"/>
              </w:rPr>
              <w:t>A partnership of the agencies across the county responsible for improving the issues identified by Ofsted and the Care Quality Commission has been formed and is addressing the issues identified by them using a robust governance framework.</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550D95">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Inclusion</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Direct payments</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Follow up of the 2017/18 audit supported by further testing based on the risk and control framework already agreed.</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top w:val="nil"/>
              <w:bottom w:val="single" w:sz="4" w:space="0" w:color="auto"/>
            </w:tcBorders>
          </w:tcPr>
          <w:p w:rsidR="00614306" w:rsidRPr="00D26113" w:rsidRDefault="00614306" w:rsidP="00614306">
            <w:pPr>
              <w:spacing w:before="40" w:after="40"/>
              <w:rPr>
                <w:rFonts w:cs="Arial"/>
                <w:color w:val="000000"/>
              </w:rPr>
            </w:pPr>
            <w:r w:rsidRPr="00AD025A">
              <w:rPr>
                <w:rFonts w:cs="Arial"/>
                <w:color w:val="000000"/>
              </w:rPr>
              <w:t>Although progress is being made, there are still a number of problems in the way direct payments are operated that adversely affect both service users and the council.</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550D95" w:rsidTr="00550D95">
        <w:trPr>
          <w:trHeight w:val="300"/>
        </w:trPr>
        <w:tc>
          <w:tcPr>
            <w:tcW w:w="2410" w:type="dxa"/>
            <w:tcBorders>
              <w:top w:val="single" w:sz="4" w:space="0" w:color="auto"/>
              <w:left w:val="nil"/>
              <w:bottom w:val="nil"/>
              <w:right w:val="nil"/>
            </w:tcBorders>
            <w:shd w:val="clear" w:color="auto" w:fill="auto"/>
            <w:noWrap/>
          </w:tcPr>
          <w:p w:rsidR="00550D95" w:rsidRDefault="00550D95" w:rsidP="00614306">
            <w:pPr>
              <w:spacing w:before="40" w:after="40"/>
              <w:rPr>
                <w:rFonts w:cs="Arial"/>
                <w:color w:val="000000"/>
              </w:rPr>
            </w:pPr>
          </w:p>
          <w:p w:rsidR="00550D95" w:rsidRDefault="00550D95" w:rsidP="00614306">
            <w:pPr>
              <w:spacing w:before="40" w:after="40"/>
              <w:rPr>
                <w:rFonts w:cs="Arial"/>
                <w:color w:val="000000"/>
              </w:rPr>
            </w:pPr>
          </w:p>
          <w:p w:rsidR="00550D95" w:rsidRDefault="00550D95" w:rsidP="00614306">
            <w:pPr>
              <w:spacing w:before="40" w:after="40"/>
              <w:rPr>
                <w:rFonts w:cs="Arial"/>
                <w:color w:val="000000"/>
              </w:rPr>
            </w:pPr>
          </w:p>
          <w:p w:rsidR="00550D95" w:rsidRDefault="00550D95" w:rsidP="00614306">
            <w:pPr>
              <w:spacing w:before="40" w:after="40"/>
              <w:rPr>
                <w:rFonts w:cs="Arial"/>
                <w:color w:val="000000"/>
              </w:rPr>
            </w:pPr>
          </w:p>
          <w:p w:rsidR="00550D95" w:rsidRDefault="00550D95" w:rsidP="00614306">
            <w:pPr>
              <w:spacing w:before="40" w:after="40"/>
              <w:rPr>
                <w:rFonts w:cs="Arial"/>
                <w:color w:val="000000"/>
              </w:rPr>
            </w:pPr>
          </w:p>
        </w:tc>
        <w:tc>
          <w:tcPr>
            <w:tcW w:w="3402" w:type="dxa"/>
            <w:tcBorders>
              <w:top w:val="single" w:sz="4" w:space="0" w:color="auto"/>
              <w:left w:val="nil"/>
              <w:bottom w:val="nil"/>
              <w:right w:val="nil"/>
            </w:tcBorders>
            <w:shd w:val="clear" w:color="auto" w:fill="auto"/>
          </w:tcPr>
          <w:p w:rsidR="00550D95" w:rsidRDefault="00550D95" w:rsidP="00614306">
            <w:pPr>
              <w:spacing w:before="40" w:after="40"/>
              <w:rPr>
                <w:rFonts w:cs="Arial"/>
                <w:color w:val="000000"/>
              </w:rPr>
            </w:pPr>
          </w:p>
        </w:tc>
        <w:tc>
          <w:tcPr>
            <w:tcW w:w="4394" w:type="dxa"/>
            <w:tcBorders>
              <w:top w:val="single" w:sz="4" w:space="0" w:color="auto"/>
              <w:left w:val="nil"/>
              <w:bottom w:val="nil"/>
              <w:right w:val="nil"/>
            </w:tcBorders>
            <w:shd w:val="clear" w:color="auto" w:fill="auto"/>
            <w:noWrap/>
          </w:tcPr>
          <w:p w:rsidR="00550D95" w:rsidRDefault="00550D95" w:rsidP="00614306">
            <w:pPr>
              <w:spacing w:before="40" w:after="40"/>
              <w:rPr>
                <w:rFonts w:cs="Arial"/>
                <w:color w:val="000000"/>
              </w:rPr>
            </w:pPr>
          </w:p>
        </w:tc>
        <w:tc>
          <w:tcPr>
            <w:tcW w:w="851" w:type="dxa"/>
            <w:tcBorders>
              <w:top w:val="single" w:sz="4" w:space="0" w:color="auto"/>
              <w:left w:val="nil"/>
              <w:bottom w:val="nil"/>
              <w:right w:val="nil"/>
            </w:tcBorders>
            <w:tcMar>
              <w:right w:w="108" w:type="dxa"/>
            </w:tcMar>
          </w:tcPr>
          <w:p w:rsidR="00550D95" w:rsidRDefault="00550D95" w:rsidP="00614306">
            <w:pPr>
              <w:spacing w:before="40" w:after="40"/>
              <w:jc w:val="center"/>
              <w:rPr>
                <w:rFonts w:cs="Arial"/>
                <w:color w:val="000000"/>
              </w:rPr>
            </w:pPr>
          </w:p>
        </w:tc>
        <w:tc>
          <w:tcPr>
            <w:tcW w:w="5812" w:type="dxa"/>
            <w:tcBorders>
              <w:top w:val="single" w:sz="4" w:space="0" w:color="auto"/>
              <w:left w:val="nil"/>
              <w:bottom w:val="nil"/>
              <w:right w:val="nil"/>
            </w:tcBorders>
          </w:tcPr>
          <w:p w:rsidR="00550D95" w:rsidRPr="00AD025A" w:rsidRDefault="00550D95" w:rsidP="00614306">
            <w:pPr>
              <w:spacing w:before="40" w:after="40"/>
              <w:rPr>
                <w:rFonts w:cs="Arial"/>
                <w:color w:val="000000"/>
              </w:rPr>
            </w:pPr>
          </w:p>
        </w:tc>
        <w:tc>
          <w:tcPr>
            <w:tcW w:w="1559" w:type="dxa"/>
            <w:tcBorders>
              <w:top w:val="single" w:sz="4" w:space="0" w:color="auto"/>
              <w:left w:val="nil"/>
              <w:bottom w:val="nil"/>
              <w:right w:val="nil"/>
            </w:tcBorders>
          </w:tcPr>
          <w:p w:rsidR="00550D95" w:rsidRDefault="00550D95" w:rsidP="00614306">
            <w:pPr>
              <w:spacing w:before="40" w:after="40"/>
              <w:jc w:val="center"/>
              <w:rPr>
                <w:rFonts w:ascii="Wingdings" w:hAnsi="Wingdings" w:cs="Arial"/>
                <w:color w:val="000000"/>
              </w:rPr>
            </w:pPr>
          </w:p>
        </w:tc>
        <w:tc>
          <w:tcPr>
            <w:tcW w:w="1134" w:type="dxa"/>
            <w:tcBorders>
              <w:top w:val="single" w:sz="4" w:space="0" w:color="auto"/>
              <w:left w:val="nil"/>
              <w:bottom w:val="nil"/>
              <w:right w:val="nil"/>
            </w:tcBorders>
          </w:tcPr>
          <w:p w:rsidR="00550D95" w:rsidRDefault="00550D95" w:rsidP="00614306">
            <w:pPr>
              <w:spacing w:before="40" w:after="40"/>
              <w:jc w:val="center"/>
              <w:rPr>
                <w:rFonts w:ascii="Wingdings" w:hAnsi="Wingdings" w:cs="Arial"/>
                <w:color w:val="000000"/>
              </w:rPr>
            </w:pPr>
          </w:p>
        </w:tc>
        <w:tc>
          <w:tcPr>
            <w:tcW w:w="1559" w:type="dxa"/>
            <w:tcBorders>
              <w:top w:val="single" w:sz="4" w:space="0" w:color="auto"/>
              <w:left w:val="nil"/>
              <w:bottom w:val="nil"/>
              <w:right w:val="nil"/>
            </w:tcBorders>
          </w:tcPr>
          <w:p w:rsidR="00550D95" w:rsidRPr="00F46785" w:rsidRDefault="00550D95" w:rsidP="00614306">
            <w:pPr>
              <w:spacing w:before="40" w:after="40"/>
              <w:rPr>
                <w:rFonts w:cs="Arial"/>
                <w:color w:val="000000"/>
              </w:rPr>
            </w:pPr>
          </w:p>
        </w:tc>
      </w:tr>
      <w:tr w:rsidR="00550D95" w:rsidTr="00550D95">
        <w:trPr>
          <w:trHeight w:val="300"/>
        </w:trPr>
        <w:tc>
          <w:tcPr>
            <w:tcW w:w="2410" w:type="dxa"/>
            <w:tcBorders>
              <w:top w:val="nil"/>
              <w:bottom w:val="single" w:sz="4" w:space="0" w:color="auto"/>
            </w:tcBorders>
            <w:shd w:val="clear" w:color="auto" w:fill="auto"/>
            <w:noWrap/>
          </w:tcPr>
          <w:p w:rsidR="00550D95" w:rsidRDefault="00550D95" w:rsidP="00E10457">
            <w:pPr>
              <w:spacing w:before="40" w:after="40"/>
              <w:rPr>
                <w:rFonts w:cs="Arial"/>
                <w:color w:val="000000"/>
              </w:rPr>
            </w:pPr>
            <w:r>
              <w:rPr>
                <w:rFonts w:cs="Arial"/>
                <w:color w:val="000000"/>
              </w:rPr>
              <w:lastRenderedPageBreak/>
              <w:t>Fostering, Adoption, Residential &amp; Y</w:t>
            </w:r>
            <w:r w:rsidR="00E10457">
              <w:rPr>
                <w:rFonts w:cs="Arial"/>
                <w:color w:val="000000"/>
              </w:rPr>
              <w:t xml:space="preserve">outh </w:t>
            </w:r>
            <w:r>
              <w:rPr>
                <w:rFonts w:cs="Arial"/>
                <w:color w:val="000000"/>
              </w:rPr>
              <w:t>O</w:t>
            </w:r>
            <w:r w:rsidR="00E10457">
              <w:rPr>
                <w:rFonts w:cs="Arial"/>
                <w:color w:val="000000"/>
              </w:rPr>
              <w:t xml:space="preserve">ffending </w:t>
            </w:r>
            <w:r>
              <w:rPr>
                <w:rFonts w:cs="Arial"/>
                <w:color w:val="000000"/>
              </w:rPr>
              <w:t>T</w:t>
            </w:r>
            <w:r w:rsidR="00E10457">
              <w:rPr>
                <w:rFonts w:cs="Arial"/>
                <w:color w:val="000000"/>
              </w:rPr>
              <w:t>eam</w:t>
            </w:r>
          </w:p>
        </w:tc>
        <w:tc>
          <w:tcPr>
            <w:tcW w:w="3402" w:type="dxa"/>
            <w:tcBorders>
              <w:top w:val="nil"/>
              <w:bottom w:val="single" w:sz="4" w:space="0" w:color="auto"/>
            </w:tcBorders>
            <w:shd w:val="clear" w:color="auto" w:fill="auto"/>
          </w:tcPr>
          <w:p w:rsidR="00550D95" w:rsidRDefault="00550D95" w:rsidP="00F948F5">
            <w:pPr>
              <w:spacing w:before="40" w:after="40"/>
              <w:rPr>
                <w:rFonts w:cs="Arial"/>
                <w:color w:val="000000"/>
              </w:rPr>
            </w:pPr>
            <w:r>
              <w:rPr>
                <w:rFonts w:cs="Arial"/>
                <w:color w:val="000000"/>
              </w:rPr>
              <w:t>Special guardianship orders</w:t>
            </w:r>
          </w:p>
        </w:tc>
        <w:tc>
          <w:tcPr>
            <w:tcW w:w="4394" w:type="dxa"/>
            <w:tcBorders>
              <w:top w:val="nil"/>
              <w:bottom w:val="single" w:sz="4" w:space="0" w:color="auto"/>
            </w:tcBorders>
            <w:shd w:val="clear" w:color="auto" w:fill="auto"/>
            <w:noWrap/>
          </w:tcPr>
          <w:p w:rsidR="00550D95" w:rsidRDefault="00550D95" w:rsidP="00F948F5">
            <w:pPr>
              <w:spacing w:before="40" w:after="40"/>
              <w:rPr>
                <w:rFonts w:cs="Arial"/>
                <w:color w:val="000000"/>
              </w:rPr>
            </w:pPr>
            <w:r>
              <w:rPr>
                <w:rFonts w:cs="Arial"/>
                <w:color w:val="000000"/>
              </w:rPr>
              <w:t>Assessment of the controls to assess entitlement to special guardianship financial support including means testing and calculation of payment, conditions, enhancement payments, ongoing entitlement and reassessment. (2019-41)</w:t>
            </w:r>
          </w:p>
        </w:tc>
        <w:tc>
          <w:tcPr>
            <w:tcW w:w="851" w:type="dxa"/>
            <w:tcBorders>
              <w:top w:val="nil"/>
              <w:bottom w:val="single" w:sz="4" w:space="0" w:color="auto"/>
            </w:tcBorders>
            <w:tcMar>
              <w:right w:w="108" w:type="dxa"/>
            </w:tcMar>
          </w:tcPr>
          <w:p w:rsidR="00550D95" w:rsidRDefault="00550D95" w:rsidP="00F948F5">
            <w:pPr>
              <w:spacing w:before="40" w:after="40"/>
              <w:jc w:val="center"/>
              <w:rPr>
                <w:rFonts w:cs="Arial"/>
                <w:color w:val="000000"/>
              </w:rPr>
            </w:pPr>
            <w:r w:rsidRPr="00F46785">
              <w:rPr>
                <w:rFonts w:cs="Arial"/>
              </w:rPr>
              <w:t>1+2</w:t>
            </w:r>
          </w:p>
        </w:tc>
        <w:tc>
          <w:tcPr>
            <w:tcW w:w="5812" w:type="dxa"/>
            <w:tcBorders>
              <w:top w:val="nil"/>
              <w:bottom w:val="single" w:sz="4" w:space="0" w:color="auto"/>
            </w:tcBorders>
          </w:tcPr>
          <w:p w:rsidR="00550D95" w:rsidRPr="00965C4B" w:rsidRDefault="00550D95" w:rsidP="00F948F5">
            <w:pPr>
              <w:spacing w:before="40" w:after="40"/>
              <w:rPr>
                <w:rFonts w:cs="Arial"/>
                <w:color w:val="000000"/>
              </w:rPr>
            </w:pPr>
            <w:r w:rsidRPr="00965C4B">
              <w:rPr>
                <w:rFonts w:cs="Arial"/>
                <w:color w:val="000000"/>
              </w:rPr>
              <w:t>Although families are receiving the financial support they need, the way the system is operated means that some will receive more support than would be deemed necessary under the relevant regulations, either on an ongoing basis or temporarily.</w:t>
            </w:r>
          </w:p>
        </w:tc>
        <w:tc>
          <w:tcPr>
            <w:tcW w:w="1559" w:type="dxa"/>
            <w:tcBorders>
              <w:top w:val="nil"/>
              <w:bottom w:val="single" w:sz="4" w:space="0" w:color="auto"/>
            </w:tcBorders>
          </w:tcPr>
          <w:p w:rsidR="00550D95" w:rsidRPr="004B3DE9" w:rsidRDefault="00550D95" w:rsidP="00F948F5">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550D95" w:rsidRPr="004B3DE9" w:rsidRDefault="00550D95" w:rsidP="00F948F5">
            <w:pPr>
              <w:spacing w:before="40" w:after="40"/>
              <w:jc w:val="center"/>
              <w:rPr>
                <w:rFonts w:cs="Arial"/>
                <w:color w:val="000000"/>
              </w:rPr>
            </w:pPr>
            <w:r>
              <w:rPr>
                <w:rFonts w:cs="Arial"/>
                <w:color w:val="000000"/>
              </w:rPr>
              <w:t>X</w:t>
            </w:r>
          </w:p>
        </w:tc>
        <w:tc>
          <w:tcPr>
            <w:tcW w:w="1559" w:type="dxa"/>
            <w:tcBorders>
              <w:top w:val="nil"/>
              <w:bottom w:val="single" w:sz="4" w:space="0" w:color="auto"/>
            </w:tcBorders>
          </w:tcPr>
          <w:p w:rsidR="00550D95" w:rsidRPr="00F46785" w:rsidRDefault="00550D95" w:rsidP="00F948F5">
            <w:pPr>
              <w:spacing w:before="40" w:after="40"/>
              <w:rPr>
                <w:rFonts w:cs="Arial"/>
                <w:color w:val="000000"/>
              </w:rPr>
            </w:pPr>
            <w:r w:rsidRPr="00F46785">
              <w:rPr>
                <w:rFonts w:cs="Arial"/>
                <w:color w:val="000000"/>
              </w:rPr>
              <w:t>Limited</w:t>
            </w:r>
          </w:p>
        </w:tc>
      </w:tr>
      <w:tr w:rsidR="00614306"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Safeguarding, Inspection &amp; Audit</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Children's Services' in-service audit framework</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adequacy and effectiveness of controls over the operation of the audit framework including testing of audit activity on casework and supervisions. (2019-42)</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top w:val="nil"/>
              <w:bottom w:val="single" w:sz="4" w:space="0" w:color="auto"/>
            </w:tcBorders>
          </w:tcPr>
          <w:p w:rsidR="00614306" w:rsidRPr="004B3DE9" w:rsidRDefault="00614306" w:rsidP="00614306">
            <w:pPr>
              <w:spacing w:before="40" w:after="40"/>
              <w:rPr>
                <w:rFonts w:cs="Arial"/>
                <w:color w:val="000000"/>
              </w:rPr>
            </w:pPr>
            <w:r w:rsidRPr="00D26113">
              <w:rPr>
                <w:rFonts w:cs="Arial"/>
                <w:color w:val="000000"/>
              </w:rPr>
              <w:t>A quality assurance framework sets out a systematic approach to quality assurance through assessing practice and identifying any improvement needs. However limited resources and the need to support additional external reviews</w:t>
            </w:r>
            <w:r>
              <w:rPr>
                <w:rFonts w:cs="Arial"/>
                <w:color w:val="000000"/>
              </w:rPr>
              <w:t xml:space="preserve"> mean that</w:t>
            </w:r>
            <w:r w:rsidRPr="00D26113">
              <w:rPr>
                <w:rFonts w:cs="Arial"/>
                <w:color w:val="000000"/>
              </w:rPr>
              <w:t xml:space="preserve"> not all of the assurance processes </w:t>
            </w:r>
            <w:r>
              <w:rPr>
                <w:rFonts w:cs="Arial"/>
                <w:color w:val="000000"/>
              </w:rPr>
              <w:t>are operating</w:t>
            </w:r>
            <w:r w:rsidRPr="00D26113">
              <w:rPr>
                <w:rFonts w:cs="Arial"/>
                <w:color w:val="000000"/>
              </w:rPr>
              <w:t xml:space="preserve"> effectively.</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Safeguarding, Inspection &amp; Audit</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Transition to new local safeguarding arrangements</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establishment of governance structures and review partnerships, and the transition to national and local reviews. (2019-43)</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nil"/>
              <w:bottom w:val="single" w:sz="4" w:space="0" w:color="auto"/>
            </w:tcBorders>
          </w:tcPr>
          <w:p w:rsidR="00614306" w:rsidRPr="00867B44" w:rsidRDefault="00614306" w:rsidP="00614306">
            <w:pPr>
              <w:spacing w:before="40" w:after="40"/>
              <w:rPr>
                <w:rFonts w:cs="Arial"/>
                <w:color w:val="000000"/>
              </w:rPr>
            </w:pPr>
            <w:r w:rsidRPr="00867B44">
              <w:rPr>
                <w:rFonts w:cs="Arial"/>
                <w:color w:val="000000"/>
              </w:rPr>
              <w:t>The transition to the new partnership arrangements to safeguard children in Lancashire has not been effectively planned or implemented by the partners, and the effectiveness of the new multi-agency Children's Safeguarding Assurance Partnership is likely to be significantly impaired until the new arrangements are properly resolved.</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Safeguarding, Inspection &amp; Audit</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sidRPr="00C40916">
              <w:rPr>
                <w:rFonts w:cs="Arial"/>
                <w:color w:val="000000"/>
              </w:rPr>
              <w:t>Child safeguarding practice reviews</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rPr>
            </w:pPr>
            <w:r>
              <w:rPr>
                <w:rFonts w:cs="Arial"/>
              </w:rPr>
              <w:t xml:space="preserve">Assessment of controls following the transition of serious case reporting from the local safeguarding board to new partnership boards. </w:t>
            </w:r>
            <w:r>
              <w:rPr>
                <w:rFonts w:cs="Arial"/>
                <w:color w:val="000000"/>
              </w:rPr>
              <w:t>(2019-44)</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nil"/>
              <w:bottom w:val="single" w:sz="4" w:space="0" w:color="auto"/>
            </w:tcBorders>
          </w:tcPr>
          <w:p w:rsidR="00614306" w:rsidRPr="00C22FA0" w:rsidRDefault="00614306" w:rsidP="00614306">
            <w:pPr>
              <w:spacing w:before="40" w:after="40"/>
              <w:rPr>
                <w:rFonts w:cs="Arial"/>
                <w:color w:val="000000"/>
              </w:rPr>
            </w:pPr>
            <w:r w:rsidRPr="00C22FA0">
              <w:rPr>
                <w:rFonts w:cs="Arial"/>
                <w:color w:val="000000"/>
              </w:rPr>
              <w:t>The new child safeguarding practice review panel arrangements are not yet operating as they should and the framework is not yet in place to ensure that the lessons are learned from local or national cases. However transitional arrangements are in place to ensure that all case reviews are held within statutory timelines and no learning is lost.</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Safeguarding, Inspection &amp; Audit</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Lancashire Safeguarding Children's Board (LSCB) governance of expenditure</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Audit of the adequacy and effectiveness of controls to ensure that purchasing by the LCSB is valid, legitimate and provides value for money. (2019-79)</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bottom w:val="single" w:sz="4" w:space="0" w:color="auto"/>
            </w:tcBorders>
          </w:tcPr>
          <w:p w:rsidR="00614306" w:rsidRPr="00AD025A" w:rsidRDefault="00614306" w:rsidP="00614306">
            <w:pPr>
              <w:spacing w:before="40" w:after="40"/>
              <w:rPr>
                <w:rFonts w:cs="Arial"/>
                <w:color w:val="000000"/>
              </w:rPr>
            </w:pPr>
            <w:r w:rsidRPr="00AD025A">
              <w:rPr>
                <w:rFonts w:cs="Arial"/>
                <w:color w:val="000000"/>
              </w:rPr>
              <w:t xml:space="preserve">The board has had no effective financial management and oversight arrangements, and illegitimate or uncontrolled spending, or error, could occur. </w:t>
            </w:r>
            <w:r>
              <w:rPr>
                <w:rFonts w:cs="Arial"/>
                <w:color w:val="000000"/>
              </w:rPr>
              <w:t>However w</w:t>
            </w:r>
            <w:r w:rsidRPr="00AD025A">
              <w:rPr>
                <w:rFonts w:cs="Arial"/>
                <w:color w:val="000000"/>
              </w:rPr>
              <w:t xml:space="preserve">e did not identify any illegitimate or inappropriate spending.  </w:t>
            </w:r>
          </w:p>
          <w:p w:rsidR="00614306" w:rsidRPr="004B3DE9" w:rsidRDefault="00614306" w:rsidP="00614306">
            <w:pPr>
              <w:spacing w:before="40" w:after="40"/>
              <w:rPr>
                <w:rFonts w:cs="Arial"/>
                <w:color w:val="000000"/>
              </w:rPr>
            </w:pPr>
            <w:r w:rsidRPr="00AD025A">
              <w:rPr>
                <w:rFonts w:cs="Arial"/>
                <w:color w:val="000000"/>
              </w:rPr>
              <w:t>Similar arrangements are in place to support the Lancashire Safeguarding Adults Board and the council's senior managers are therefore taking action to ensure that financial arrangements are strengthened and that there is appropriate transparency in the use of funds.</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9C49B5" w:rsidTr="00550D95">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Education, Quality and Performance</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 xml:space="preserve">Children missing from home or school. </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rPr>
            </w:pPr>
            <w:r>
              <w:rPr>
                <w:rFonts w:cs="Arial"/>
              </w:rPr>
              <w:t xml:space="preserve">Audit of the adequacy and effectiveness of controls to identify and track children missing from home or school, building on the work done in 2018/19 on school exclusions. </w:t>
            </w:r>
            <w:r>
              <w:rPr>
                <w:rFonts w:cs="Arial"/>
                <w:color w:val="000000"/>
              </w:rPr>
              <w:t>(2019-45)</w:t>
            </w:r>
          </w:p>
        </w:tc>
        <w:tc>
          <w:tcPr>
            <w:tcW w:w="851" w:type="dxa"/>
            <w:tcBorders>
              <w:top w:val="nil"/>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bottom w:val="single" w:sz="4" w:space="0" w:color="auto"/>
            </w:tcBorders>
            <w:shd w:val="clear" w:color="auto" w:fill="auto"/>
          </w:tcPr>
          <w:p w:rsidR="00614306" w:rsidRPr="004B3DE9"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top w:val="nil"/>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X</w:t>
            </w:r>
          </w:p>
        </w:tc>
        <w:tc>
          <w:tcPr>
            <w:tcW w:w="1134" w:type="dxa"/>
            <w:tcBorders>
              <w:top w:val="nil"/>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nil"/>
              <w:bottom w:val="single" w:sz="4" w:space="0" w:color="auto"/>
            </w:tcBorders>
            <w:shd w:val="clear" w:color="auto" w:fill="auto"/>
          </w:tcPr>
          <w:p w:rsidR="00614306" w:rsidRPr="004B3DE9" w:rsidRDefault="00614306" w:rsidP="00614306">
            <w:pPr>
              <w:spacing w:before="40" w:after="40"/>
              <w:rPr>
                <w:rFonts w:cs="Arial"/>
                <w:color w:val="000000"/>
              </w:rPr>
            </w:pPr>
            <w:r>
              <w:rPr>
                <w:rFonts w:cs="Arial"/>
                <w:color w:val="000000"/>
              </w:rPr>
              <w:t>Not applicable</w:t>
            </w:r>
          </w:p>
        </w:tc>
      </w:tr>
      <w:tr w:rsidR="00550D95" w:rsidTr="00550D95">
        <w:trPr>
          <w:trHeight w:val="300"/>
        </w:trPr>
        <w:tc>
          <w:tcPr>
            <w:tcW w:w="2410" w:type="dxa"/>
            <w:tcBorders>
              <w:top w:val="single" w:sz="4" w:space="0" w:color="auto"/>
              <w:left w:val="nil"/>
              <w:bottom w:val="nil"/>
              <w:right w:val="nil"/>
            </w:tcBorders>
            <w:shd w:val="clear" w:color="auto" w:fill="auto"/>
            <w:noWrap/>
          </w:tcPr>
          <w:p w:rsidR="00550D95" w:rsidRDefault="00550D95" w:rsidP="00614306">
            <w:pPr>
              <w:spacing w:before="40" w:after="40"/>
              <w:rPr>
                <w:rFonts w:cs="Arial"/>
                <w:color w:val="000000"/>
              </w:rPr>
            </w:pPr>
          </w:p>
        </w:tc>
        <w:tc>
          <w:tcPr>
            <w:tcW w:w="3402" w:type="dxa"/>
            <w:tcBorders>
              <w:top w:val="single" w:sz="4" w:space="0" w:color="auto"/>
              <w:left w:val="nil"/>
              <w:bottom w:val="nil"/>
              <w:right w:val="nil"/>
            </w:tcBorders>
            <w:shd w:val="clear" w:color="auto" w:fill="auto"/>
          </w:tcPr>
          <w:p w:rsidR="00550D95" w:rsidRDefault="00550D95" w:rsidP="00614306">
            <w:pPr>
              <w:spacing w:before="40" w:after="40"/>
              <w:rPr>
                <w:rFonts w:cs="Arial"/>
                <w:color w:val="000000"/>
              </w:rPr>
            </w:pPr>
          </w:p>
        </w:tc>
        <w:tc>
          <w:tcPr>
            <w:tcW w:w="4394" w:type="dxa"/>
            <w:tcBorders>
              <w:top w:val="single" w:sz="4" w:space="0" w:color="auto"/>
              <w:left w:val="nil"/>
              <w:bottom w:val="nil"/>
              <w:right w:val="nil"/>
            </w:tcBorders>
            <w:shd w:val="clear" w:color="auto" w:fill="auto"/>
            <w:noWrap/>
          </w:tcPr>
          <w:p w:rsidR="00550D95" w:rsidRDefault="00550D95" w:rsidP="00614306">
            <w:pPr>
              <w:spacing w:before="40" w:after="40"/>
              <w:rPr>
                <w:rFonts w:cs="Arial"/>
                <w:color w:val="000000"/>
              </w:rPr>
            </w:pPr>
          </w:p>
        </w:tc>
        <w:tc>
          <w:tcPr>
            <w:tcW w:w="851" w:type="dxa"/>
            <w:tcBorders>
              <w:top w:val="single" w:sz="4" w:space="0" w:color="auto"/>
              <w:left w:val="nil"/>
              <w:bottom w:val="nil"/>
              <w:right w:val="nil"/>
            </w:tcBorders>
            <w:tcMar>
              <w:right w:w="108" w:type="dxa"/>
            </w:tcMar>
          </w:tcPr>
          <w:p w:rsidR="00550D95" w:rsidRDefault="00550D95" w:rsidP="00614306">
            <w:pPr>
              <w:spacing w:before="40" w:after="40"/>
              <w:jc w:val="center"/>
              <w:rPr>
                <w:rFonts w:cs="Arial"/>
                <w:color w:val="000000"/>
              </w:rPr>
            </w:pPr>
          </w:p>
        </w:tc>
        <w:tc>
          <w:tcPr>
            <w:tcW w:w="5812" w:type="dxa"/>
            <w:tcBorders>
              <w:top w:val="single" w:sz="4" w:space="0" w:color="auto"/>
              <w:left w:val="nil"/>
              <w:bottom w:val="nil"/>
              <w:right w:val="nil"/>
            </w:tcBorders>
          </w:tcPr>
          <w:p w:rsidR="00550D95" w:rsidRPr="00DA27C8" w:rsidRDefault="00550D95" w:rsidP="00614306">
            <w:pPr>
              <w:spacing w:before="40" w:after="40"/>
              <w:rPr>
                <w:rFonts w:cs="Arial"/>
                <w:color w:val="000000"/>
              </w:rPr>
            </w:pPr>
          </w:p>
        </w:tc>
        <w:tc>
          <w:tcPr>
            <w:tcW w:w="1559" w:type="dxa"/>
            <w:tcBorders>
              <w:top w:val="single" w:sz="4" w:space="0" w:color="auto"/>
              <w:left w:val="nil"/>
              <w:bottom w:val="nil"/>
              <w:right w:val="nil"/>
            </w:tcBorders>
          </w:tcPr>
          <w:p w:rsidR="00550D95" w:rsidRDefault="00550D95" w:rsidP="00614306">
            <w:pPr>
              <w:spacing w:before="40" w:after="40"/>
              <w:jc w:val="center"/>
              <w:rPr>
                <w:rFonts w:ascii="Wingdings" w:hAnsi="Wingdings" w:cs="Arial"/>
                <w:color w:val="000000"/>
              </w:rPr>
            </w:pPr>
          </w:p>
        </w:tc>
        <w:tc>
          <w:tcPr>
            <w:tcW w:w="1134" w:type="dxa"/>
            <w:tcBorders>
              <w:top w:val="single" w:sz="4" w:space="0" w:color="auto"/>
              <w:left w:val="nil"/>
              <w:bottom w:val="nil"/>
              <w:right w:val="nil"/>
            </w:tcBorders>
          </w:tcPr>
          <w:p w:rsidR="00550D95" w:rsidRDefault="00550D95" w:rsidP="00614306">
            <w:pPr>
              <w:spacing w:before="40" w:after="40"/>
              <w:jc w:val="center"/>
              <w:rPr>
                <w:rFonts w:cs="Arial"/>
                <w:color w:val="000000"/>
              </w:rPr>
            </w:pPr>
          </w:p>
        </w:tc>
        <w:tc>
          <w:tcPr>
            <w:tcW w:w="1559" w:type="dxa"/>
            <w:tcBorders>
              <w:top w:val="single" w:sz="4" w:space="0" w:color="auto"/>
              <w:left w:val="nil"/>
              <w:bottom w:val="nil"/>
              <w:right w:val="nil"/>
            </w:tcBorders>
          </w:tcPr>
          <w:p w:rsidR="00550D95" w:rsidRPr="00F46785" w:rsidRDefault="00550D95" w:rsidP="00614306">
            <w:pPr>
              <w:spacing w:before="40" w:after="40"/>
              <w:rPr>
                <w:rFonts w:cs="Arial"/>
                <w:color w:val="000000"/>
              </w:rPr>
            </w:pPr>
          </w:p>
        </w:tc>
      </w:tr>
      <w:tr w:rsidR="009C49B5" w:rsidTr="00550D95">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lastRenderedPageBreak/>
              <w:t>Libraries, Museums &amp; Culture</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Re-imagining the Harris</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Work to understand the overall programme and the implementation of its component parts with Preston City Council. (2019-46)</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nil"/>
              <w:bottom w:val="single" w:sz="4" w:space="0" w:color="auto"/>
            </w:tcBorders>
          </w:tcPr>
          <w:p w:rsidR="00614306" w:rsidRPr="00DA27C8" w:rsidRDefault="00614306" w:rsidP="00614306">
            <w:pPr>
              <w:spacing w:before="40" w:after="40"/>
              <w:rPr>
                <w:rFonts w:cs="Arial"/>
                <w:color w:val="000000"/>
              </w:rPr>
            </w:pPr>
            <w:r w:rsidRPr="00DA27C8">
              <w:rPr>
                <w:rFonts w:cs="Arial"/>
                <w:color w:val="000000"/>
              </w:rPr>
              <w:t>Appropriate governance arrangements have been established and are operating effectively, and the project is being effectively monitored.</w:t>
            </w:r>
          </w:p>
        </w:tc>
        <w:tc>
          <w:tcPr>
            <w:tcW w:w="1559" w:type="dxa"/>
            <w:tcBorders>
              <w:top w:val="nil"/>
              <w:bottom w:val="single" w:sz="4" w:space="0" w:color="auto"/>
            </w:tcBorders>
          </w:tcPr>
          <w:p w:rsidR="00614306" w:rsidRPr="00896910" w:rsidRDefault="00614306" w:rsidP="00614306">
            <w:pPr>
              <w:spacing w:before="40" w:after="40"/>
              <w:jc w:val="center"/>
              <w:rPr>
                <w:rFonts w:cs="Arial"/>
              </w:rPr>
            </w:pPr>
            <w:r>
              <w:rPr>
                <w:rFonts w:ascii="Wingdings" w:hAnsi="Wingdings" w:cs="Arial"/>
                <w:color w:val="000000"/>
              </w:rPr>
              <w:sym w:font="Wingdings" w:char="F0FC"/>
            </w:r>
          </w:p>
        </w:tc>
        <w:tc>
          <w:tcPr>
            <w:tcW w:w="1134"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Libraries, Museums &amp; Culture</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Safekeeping of heritage assets held in museums and libraries</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controls in place to ensure that heritage assets held in museums and libraries are exhibited, stored and moved safely and securely. (2019-47)</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nil"/>
              <w:bottom w:val="single" w:sz="4" w:space="0" w:color="auto"/>
            </w:tcBorders>
          </w:tcPr>
          <w:p w:rsidR="00614306" w:rsidRPr="00F85F07" w:rsidRDefault="00614306" w:rsidP="00614306">
            <w:pPr>
              <w:spacing w:before="40" w:after="40"/>
              <w:rPr>
                <w:rFonts w:cs="Arial"/>
                <w:color w:val="000000"/>
              </w:rPr>
            </w:pPr>
            <w:r w:rsidRPr="00495E4C">
              <w:rPr>
                <w:rFonts w:cs="Arial"/>
                <w:color w:val="000000"/>
              </w:rPr>
              <w:t>The control framework covers all key areas regarding the safe and secure storage, display and transport of heritage assets.</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Financial Management (Development &amp; Schools)</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Schools thematic audit: procurement</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Audit of a sample of schools' arrangements for procuring goods and services. (2019-48)</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bottom w:val="single" w:sz="4" w:space="0" w:color="auto"/>
            </w:tcBorders>
          </w:tcPr>
          <w:p w:rsidR="00614306" w:rsidRPr="004B3DE9" w:rsidRDefault="00614306" w:rsidP="00614306">
            <w:pPr>
              <w:spacing w:before="40" w:after="40"/>
              <w:rPr>
                <w:rFonts w:cs="Arial"/>
                <w:color w:val="000000"/>
              </w:rPr>
            </w:pPr>
            <w:r w:rsidRPr="00F85F07">
              <w:rPr>
                <w:rFonts w:cs="Arial"/>
                <w:color w:val="000000"/>
              </w:rPr>
              <w:t>Although there are some small deviations from best practice and schools' financial regulations, these were not signifi</w:t>
            </w:r>
            <w:r>
              <w:rPr>
                <w:rFonts w:cs="Arial"/>
                <w:color w:val="000000"/>
              </w:rPr>
              <w:t>cant in the schools we visited.</w:t>
            </w:r>
          </w:p>
        </w:tc>
        <w:tc>
          <w:tcPr>
            <w:tcW w:w="1559" w:type="dxa"/>
            <w:tcBorders>
              <w:top w:val="nil"/>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Pr="00F46785" w:rsidRDefault="00614306" w:rsidP="00614306">
            <w:pPr>
              <w:spacing w:before="40" w:after="40"/>
              <w:rPr>
                <w:rFonts w:cs="Arial"/>
              </w:rPr>
            </w:pPr>
            <w:r w:rsidRPr="00F46785">
              <w:rPr>
                <w:rFonts w:cs="Arial"/>
              </w:rPr>
              <w:t>Financial Management (Development &amp; Schools)</w:t>
            </w:r>
          </w:p>
        </w:tc>
        <w:tc>
          <w:tcPr>
            <w:tcW w:w="3402" w:type="dxa"/>
            <w:tcBorders>
              <w:top w:val="single" w:sz="4" w:space="0" w:color="auto"/>
              <w:bottom w:val="single" w:sz="4" w:space="0" w:color="auto"/>
            </w:tcBorders>
            <w:shd w:val="clear" w:color="auto" w:fill="auto"/>
          </w:tcPr>
          <w:p w:rsidR="00614306" w:rsidRPr="00F46785" w:rsidRDefault="00614306" w:rsidP="00614306">
            <w:pPr>
              <w:spacing w:before="40" w:after="40"/>
              <w:rPr>
                <w:rFonts w:cs="Arial"/>
              </w:rPr>
            </w:pPr>
            <w:r w:rsidRPr="00F46785">
              <w:rPr>
                <w:rFonts w:cs="Arial"/>
              </w:rPr>
              <w:t>Development of a schools audit function</w:t>
            </w:r>
          </w:p>
        </w:tc>
        <w:tc>
          <w:tcPr>
            <w:tcW w:w="4394" w:type="dxa"/>
            <w:tcBorders>
              <w:top w:val="single" w:sz="4" w:space="0" w:color="auto"/>
              <w:bottom w:val="single" w:sz="4" w:space="0" w:color="auto"/>
            </w:tcBorders>
            <w:shd w:val="clear" w:color="auto" w:fill="auto"/>
            <w:noWrap/>
          </w:tcPr>
          <w:p w:rsidR="00614306" w:rsidRPr="00F46785" w:rsidRDefault="00614306" w:rsidP="00614306">
            <w:pPr>
              <w:spacing w:before="40" w:after="40"/>
              <w:rPr>
                <w:rFonts w:cs="Arial"/>
              </w:rPr>
            </w:pPr>
            <w:r w:rsidRPr="00F46785">
              <w:rPr>
                <w:rFonts w:cs="Arial"/>
              </w:rPr>
              <w:t>Work to support management's development of assurance over the county's maintained schools. (2019-83)</w:t>
            </w:r>
          </w:p>
        </w:tc>
        <w:tc>
          <w:tcPr>
            <w:tcW w:w="851" w:type="dxa"/>
            <w:tcBorders>
              <w:top w:val="single" w:sz="4" w:space="0" w:color="auto"/>
              <w:bottom w:val="single" w:sz="4" w:space="0" w:color="auto"/>
            </w:tcBorders>
            <w:shd w:val="clear" w:color="auto" w:fill="auto"/>
            <w:tcMar>
              <w:right w:w="108" w:type="dxa"/>
            </w:tcMar>
          </w:tcPr>
          <w:p w:rsidR="00614306" w:rsidRPr="00F46785" w:rsidRDefault="00614306" w:rsidP="00614306">
            <w:pPr>
              <w:spacing w:before="40" w:after="40"/>
              <w:jc w:val="center"/>
              <w:rPr>
                <w:rFonts w:cs="Arial"/>
              </w:rPr>
            </w:pPr>
            <w:r w:rsidRPr="00F46785">
              <w:rPr>
                <w:rFonts w:cs="Arial"/>
              </w:rPr>
              <w:t>1</w:t>
            </w:r>
          </w:p>
        </w:tc>
        <w:tc>
          <w:tcPr>
            <w:tcW w:w="5812" w:type="dxa"/>
            <w:tcBorders>
              <w:top w:val="single" w:sz="4" w:space="0" w:color="auto"/>
              <w:bottom w:val="single" w:sz="4" w:space="0" w:color="auto"/>
            </w:tcBorders>
            <w:shd w:val="clear" w:color="auto" w:fill="auto"/>
          </w:tcPr>
          <w:p w:rsidR="00614306" w:rsidRPr="00F46785" w:rsidRDefault="00614306" w:rsidP="00614306">
            <w:pPr>
              <w:spacing w:before="40" w:after="40"/>
              <w:rPr>
                <w:rFonts w:cs="Arial"/>
              </w:rPr>
            </w:pPr>
            <w:r>
              <w:rPr>
                <w:rFonts w:cs="Arial"/>
                <w:color w:val="000000"/>
              </w:rPr>
              <w:t>Insufficient audit work has been undertaken and no further work was possible around the year end.</w:t>
            </w:r>
          </w:p>
        </w:tc>
        <w:tc>
          <w:tcPr>
            <w:tcW w:w="1559" w:type="dxa"/>
            <w:tcBorders>
              <w:top w:val="single" w:sz="4" w:space="0" w:color="auto"/>
              <w:bottom w:val="single" w:sz="4" w:space="0" w:color="auto"/>
            </w:tcBorders>
            <w:shd w:val="clear" w:color="auto" w:fill="auto"/>
          </w:tcPr>
          <w:p w:rsidR="00614306" w:rsidRPr="00F46785" w:rsidRDefault="00614306" w:rsidP="00614306">
            <w:pPr>
              <w:spacing w:before="40" w:after="40"/>
              <w:jc w:val="center"/>
              <w:rPr>
                <w:rFonts w:cs="Arial"/>
              </w:rPr>
            </w:pPr>
            <w:r w:rsidRPr="00F46785">
              <w:rPr>
                <w:rFonts w:cs="Arial"/>
              </w:rPr>
              <w:t>X</w:t>
            </w:r>
          </w:p>
        </w:tc>
        <w:tc>
          <w:tcPr>
            <w:tcW w:w="1134" w:type="dxa"/>
            <w:tcBorders>
              <w:top w:val="single" w:sz="4" w:space="0" w:color="auto"/>
              <w:bottom w:val="single" w:sz="4" w:space="0" w:color="auto"/>
            </w:tcBorders>
            <w:shd w:val="clear" w:color="auto" w:fill="auto"/>
          </w:tcPr>
          <w:p w:rsidR="00614306" w:rsidRPr="00F46785" w:rsidRDefault="00614306" w:rsidP="00614306">
            <w:pPr>
              <w:spacing w:before="40" w:after="40"/>
              <w:jc w:val="center"/>
              <w:rPr>
                <w:rFonts w:cs="Arial"/>
              </w:rPr>
            </w:pPr>
            <w:r w:rsidRPr="00F46785">
              <w:rPr>
                <w:rFonts w:cs="Arial"/>
              </w:rPr>
              <w:t>X</w:t>
            </w:r>
          </w:p>
        </w:tc>
        <w:tc>
          <w:tcPr>
            <w:tcW w:w="1559" w:type="dxa"/>
            <w:tcBorders>
              <w:top w:val="single" w:sz="4" w:space="0" w:color="auto"/>
              <w:bottom w:val="single" w:sz="4" w:space="0" w:color="auto"/>
            </w:tcBorders>
            <w:shd w:val="clear" w:color="auto" w:fill="auto"/>
          </w:tcPr>
          <w:p w:rsidR="00614306" w:rsidRPr="00F46785" w:rsidRDefault="00614306" w:rsidP="00614306">
            <w:pPr>
              <w:spacing w:before="40" w:after="40"/>
              <w:rPr>
                <w:rFonts w:cs="Arial"/>
              </w:rPr>
            </w:pPr>
            <w:r>
              <w:rPr>
                <w:rFonts w:cs="Arial"/>
                <w:color w:val="000000"/>
              </w:rPr>
              <w:t>Not applicable</w:t>
            </w:r>
          </w:p>
        </w:tc>
      </w:tr>
      <w:tr w:rsidR="009C49B5" w:rsidTr="00614306">
        <w:trPr>
          <w:trHeight w:val="300"/>
        </w:trPr>
        <w:tc>
          <w:tcPr>
            <w:tcW w:w="10206" w:type="dxa"/>
            <w:gridSpan w:val="3"/>
            <w:tcBorders>
              <w:top w:val="nil"/>
              <w:right w:val="nil"/>
            </w:tcBorders>
            <w:shd w:val="clear" w:color="auto" w:fill="auto"/>
            <w:noWrap/>
          </w:tcPr>
          <w:p w:rsidR="00614306" w:rsidRPr="00BF10C7" w:rsidRDefault="00614306" w:rsidP="00614306">
            <w:pPr>
              <w:spacing w:before="60" w:after="60"/>
              <w:rPr>
                <w:rFonts w:cs="Arial"/>
                <w:b/>
                <w:color w:val="000000"/>
              </w:rPr>
            </w:pPr>
            <w:r w:rsidRPr="00BF10C7">
              <w:rPr>
                <w:rFonts w:cs="Arial"/>
                <w:b/>
                <w:color w:val="000000"/>
              </w:rPr>
              <w:t>Growth, Environment, Transport &amp; Community Services</w:t>
            </w:r>
          </w:p>
        </w:tc>
        <w:tc>
          <w:tcPr>
            <w:tcW w:w="851" w:type="dxa"/>
            <w:tcBorders>
              <w:top w:val="nil"/>
              <w:left w:val="nil"/>
              <w:right w:val="nil"/>
            </w:tcBorders>
            <w:shd w:val="clear" w:color="auto" w:fill="auto"/>
            <w:tcMar>
              <w:right w:w="108" w:type="dxa"/>
            </w:tcMar>
          </w:tcPr>
          <w:p w:rsidR="00614306" w:rsidRPr="006E2BC6" w:rsidRDefault="00614306" w:rsidP="00614306">
            <w:pPr>
              <w:spacing w:before="60" w:after="60"/>
              <w:jc w:val="center"/>
              <w:rPr>
                <w:rFonts w:cs="Arial"/>
                <w:color w:val="000000"/>
              </w:rPr>
            </w:pPr>
          </w:p>
        </w:tc>
        <w:tc>
          <w:tcPr>
            <w:tcW w:w="5812" w:type="dxa"/>
            <w:tcBorders>
              <w:top w:val="nil"/>
              <w:left w:val="nil"/>
              <w:right w:val="nil"/>
            </w:tcBorders>
            <w:shd w:val="clear" w:color="auto" w:fill="auto"/>
          </w:tcPr>
          <w:p w:rsidR="00614306" w:rsidRPr="0071307A" w:rsidRDefault="00614306" w:rsidP="00614306">
            <w:pPr>
              <w:spacing w:before="60" w:after="60"/>
              <w:rPr>
                <w:rFonts w:cs="Arial"/>
              </w:rPr>
            </w:pPr>
          </w:p>
        </w:tc>
        <w:tc>
          <w:tcPr>
            <w:tcW w:w="1559" w:type="dxa"/>
            <w:tcBorders>
              <w:top w:val="nil"/>
              <w:left w:val="nil"/>
              <w:right w:val="nil"/>
            </w:tcBorders>
            <w:shd w:val="clear" w:color="auto" w:fill="auto"/>
          </w:tcPr>
          <w:p w:rsidR="00614306" w:rsidRPr="00534482" w:rsidRDefault="00614306" w:rsidP="00614306">
            <w:pPr>
              <w:spacing w:before="60" w:after="60"/>
              <w:rPr>
                <w:rFonts w:cs="Arial"/>
              </w:rPr>
            </w:pPr>
          </w:p>
        </w:tc>
        <w:tc>
          <w:tcPr>
            <w:tcW w:w="1134" w:type="dxa"/>
            <w:tcBorders>
              <w:top w:val="nil"/>
              <w:left w:val="nil"/>
              <w:right w:val="nil"/>
            </w:tcBorders>
            <w:shd w:val="clear" w:color="auto" w:fill="auto"/>
          </w:tcPr>
          <w:p w:rsidR="00614306" w:rsidRPr="00534482" w:rsidRDefault="00614306" w:rsidP="00614306">
            <w:pPr>
              <w:spacing w:before="60" w:after="60"/>
              <w:jc w:val="center"/>
              <w:rPr>
                <w:rFonts w:cs="Arial"/>
              </w:rPr>
            </w:pPr>
          </w:p>
        </w:tc>
        <w:tc>
          <w:tcPr>
            <w:tcW w:w="1559" w:type="dxa"/>
            <w:tcBorders>
              <w:top w:val="nil"/>
              <w:left w:val="nil"/>
            </w:tcBorders>
            <w:shd w:val="clear" w:color="auto" w:fill="auto"/>
          </w:tcPr>
          <w:p w:rsidR="00614306" w:rsidRPr="00534482" w:rsidRDefault="00614306" w:rsidP="00614306">
            <w:pPr>
              <w:spacing w:before="60" w:after="60"/>
              <w:rPr>
                <w:rFonts w:cs="Arial"/>
              </w:rPr>
            </w:pPr>
          </w:p>
        </w:tc>
      </w:tr>
      <w:tr w:rsidR="009C49B5" w:rsidTr="00614306">
        <w:trPr>
          <w:trHeight w:val="300"/>
        </w:trPr>
        <w:tc>
          <w:tcPr>
            <w:tcW w:w="2410"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Highways</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sidRPr="009108F2">
              <w:rPr>
                <w:rFonts w:cs="Arial"/>
                <w:color w:val="000000"/>
              </w:rPr>
              <w:t>Management of the Highways Service cost savings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Work to understand and assess the service's plans and action to deliver service improvement. (2019-49)</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tcPr>
          <w:p w:rsidR="00614306" w:rsidRPr="009108F2" w:rsidRDefault="00614306" w:rsidP="00614306">
            <w:pPr>
              <w:spacing w:before="40" w:after="40"/>
              <w:rPr>
                <w:rFonts w:cs="Arial"/>
                <w:color w:val="000000"/>
              </w:rPr>
            </w:pPr>
            <w:r w:rsidRPr="009108F2">
              <w:rPr>
                <w:rFonts w:cs="Arial"/>
                <w:color w:val="000000"/>
              </w:rPr>
              <w:t>The controls in place to monitor the savings are adequately designed, but the Growth, Environment and Transport Finance Monitoring Board is monitoring significant slippage on the plans to achieve the service's savings targets and we found some errors in the information being provided to that board.</w:t>
            </w:r>
          </w:p>
        </w:tc>
        <w:tc>
          <w:tcPr>
            <w:tcW w:w="1559" w:type="dxa"/>
            <w:tcBorders>
              <w:top w:val="single" w:sz="4" w:space="0" w:color="auto"/>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Highways</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Highways stocks and stores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arrangements in depots for the proper management of stocks and stores, including their security and the treatment of wastage. (2019-50)</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tcPr>
          <w:p w:rsidR="00614306" w:rsidRPr="00BA7A93" w:rsidRDefault="00614306" w:rsidP="00614306">
            <w:pPr>
              <w:spacing w:before="40" w:after="40"/>
              <w:rPr>
                <w:rFonts w:cs="Arial"/>
                <w:color w:val="000000"/>
              </w:rPr>
            </w:pPr>
            <w:r w:rsidRPr="00BA7A93">
              <w:rPr>
                <w:rFonts w:cs="Arial"/>
                <w:color w:val="000000"/>
              </w:rPr>
              <w:t xml:space="preserve">Whilst the storerooms in depots are operated to support the work of the highways operatives efficiently, stock is not well controlled and in 2019 £293,000 (13%) was written off its value, arising from discrepancies between physical stock and the accounting records. </w:t>
            </w:r>
          </w:p>
        </w:tc>
        <w:tc>
          <w:tcPr>
            <w:tcW w:w="1559" w:type="dxa"/>
            <w:tcBorders>
              <w:top w:val="single" w:sz="4" w:space="0" w:color="auto"/>
              <w:bottom w:val="single" w:sz="4" w:space="0" w:color="auto"/>
            </w:tcBorders>
          </w:tcPr>
          <w:p w:rsidR="00614306" w:rsidRPr="004B3DE9"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9C49B5" w:rsidTr="00614306">
        <w:trPr>
          <w:trHeight w:val="300"/>
        </w:trPr>
        <w:tc>
          <w:tcPr>
            <w:tcW w:w="2410"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Highways; Public &amp; Integrated Transport</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Health and safety at operational depots.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An audit of the controls to manage the risks to operatives' and the public's health and safety at transport and highways depots. (2019-51)</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top w:val="single" w:sz="4" w:space="0" w:color="auto"/>
              <w:bottom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bottom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top w:val="single" w:sz="4" w:space="0" w:color="auto"/>
              <w:bottom w:val="single" w:sz="4" w:space="0" w:color="auto"/>
            </w:tcBorders>
            <w:shd w:val="clear" w:color="auto" w:fill="auto"/>
          </w:tcPr>
          <w:p w:rsidR="00614306" w:rsidRPr="009C64B7" w:rsidRDefault="00614306" w:rsidP="00614306">
            <w:pPr>
              <w:spacing w:before="40" w:after="40"/>
              <w:rPr>
                <w:rFonts w:cs="Arial"/>
                <w:color w:val="000000"/>
              </w:rPr>
            </w:pPr>
            <w:r>
              <w:rPr>
                <w:rFonts w:cs="Arial"/>
                <w:color w:val="000000"/>
              </w:rPr>
              <w:t>Not applicable</w:t>
            </w:r>
          </w:p>
        </w:tc>
      </w:tr>
      <w:tr w:rsidR="009C49B5" w:rsidTr="00550D95">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Public &amp; Integrated Transport</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 xml:space="preserve">Operation of the non-HGV vehicle fleet </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Audit of the effectiveness of controls over the operation of non-HGV council fleet. (2019-52)</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bottom w:val="single" w:sz="4" w:space="0" w:color="auto"/>
            </w:tcBorders>
          </w:tcPr>
          <w:p w:rsidR="00614306" w:rsidRPr="003B0056" w:rsidRDefault="00614306" w:rsidP="00614306">
            <w:pPr>
              <w:spacing w:before="40" w:after="40"/>
              <w:rPr>
                <w:rFonts w:cs="Arial"/>
              </w:rPr>
            </w:pPr>
            <w:r>
              <w:rPr>
                <w:rFonts w:cs="Arial"/>
              </w:rPr>
              <w:t>T</w:t>
            </w:r>
            <w:r w:rsidRPr="003B69BE">
              <w:rPr>
                <w:rFonts w:cs="Arial"/>
              </w:rPr>
              <w:t>here is no single set of readily accessible policy, procedures and guidance that addresses issues such as drivers' eligibility and fitness to drive, and vehicle roadworthiness and safety. Other than in the Highways and Transport Directorate, managers and drivers generally have a limited and inconsistent awareness of the council's requirements, and compliance with them is therefore variable.</w:t>
            </w:r>
          </w:p>
        </w:tc>
        <w:tc>
          <w:tcPr>
            <w:tcW w:w="1559" w:type="dxa"/>
            <w:tcBorders>
              <w:top w:val="nil"/>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Pr="00BF10C7" w:rsidRDefault="00614306" w:rsidP="00614306">
            <w:pPr>
              <w:spacing w:before="40" w:after="40"/>
              <w:jc w:val="center"/>
              <w:rPr>
                <w:rFonts w:cs="Arial"/>
                <w:color w:val="000000"/>
              </w:rPr>
            </w:pPr>
            <w:r w:rsidRPr="003B0056">
              <w:rPr>
                <w:rFonts w:cs="Arial"/>
              </w:rPr>
              <w:t>X</w:t>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550D95" w:rsidTr="00550D95">
        <w:trPr>
          <w:trHeight w:val="300"/>
        </w:trPr>
        <w:tc>
          <w:tcPr>
            <w:tcW w:w="2410" w:type="dxa"/>
            <w:tcBorders>
              <w:top w:val="single" w:sz="4" w:space="0" w:color="auto"/>
              <w:left w:val="nil"/>
              <w:bottom w:val="nil"/>
              <w:right w:val="nil"/>
            </w:tcBorders>
            <w:shd w:val="clear" w:color="auto" w:fill="auto"/>
            <w:noWrap/>
          </w:tcPr>
          <w:p w:rsidR="00550D95" w:rsidRDefault="00550D95" w:rsidP="00614306">
            <w:pPr>
              <w:spacing w:before="40" w:after="40"/>
              <w:rPr>
                <w:rFonts w:cs="Arial"/>
                <w:color w:val="000000"/>
              </w:rPr>
            </w:pPr>
          </w:p>
          <w:p w:rsidR="00550D95" w:rsidRDefault="00550D95" w:rsidP="00614306">
            <w:pPr>
              <w:spacing w:before="40" w:after="40"/>
              <w:rPr>
                <w:rFonts w:cs="Arial"/>
                <w:color w:val="000000"/>
              </w:rPr>
            </w:pPr>
          </w:p>
        </w:tc>
        <w:tc>
          <w:tcPr>
            <w:tcW w:w="3402" w:type="dxa"/>
            <w:tcBorders>
              <w:top w:val="single" w:sz="4" w:space="0" w:color="auto"/>
              <w:left w:val="nil"/>
              <w:bottom w:val="nil"/>
              <w:right w:val="nil"/>
            </w:tcBorders>
            <w:shd w:val="clear" w:color="auto" w:fill="auto"/>
          </w:tcPr>
          <w:p w:rsidR="00550D95" w:rsidRDefault="00550D95" w:rsidP="00614306">
            <w:pPr>
              <w:spacing w:before="40" w:after="40"/>
              <w:rPr>
                <w:rFonts w:cs="Arial"/>
                <w:color w:val="000000"/>
              </w:rPr>
            </w:pPr>
          </w:p>
        </w:tc>
        <w:tc>
          <w:tcPr>
            <w:tcW w:w="4394" w:type="dxa"/>
            <w:tcBorders>
              <w:top w:val="single" w:sz="4" w:space="0" w:color="auto"/>
              <w:left w:val="nil"/>
              <w:bottom w:val="nil"/>
              <w:right w:val="nil"/>
            </w:tcBorders>
            <w:shd w:val="clear" w:color="auto" w:fill="auto"/>
            <w:noWrap/>
          </w:tcPr>
          <w:p w:rsidR="00550D95" w:rsidRDefault="00550D95" w:rsidP="00614306">
            <w:pPr>
              <w:spacing w:before="40" w:after="40"/>
              <w:rPr>
                <w:rFonts w:cs="Arial"/>
                <w:color w:val="000000"/>
              </w:rPr>
            </w:pPr>
          </w:p>
        </w:tc>
        <w:tc>
          <w:tcPr>
            <w:tcW w:w="851" w:type="dxa"/>
            <w:tcBorders>
              <w:top w:val="single" w:sz="4" w:space="0" w:color="auto"/>
              <w:left w:val="nil"/>
              <w:bottom w:val="nil"/>
              <w:right w:val="nil"/>
            </w:tcBorders>
            <w:shd w:val="clear" w:color="auto" w:fill="auto"/>
            <w:tcMar>
              <w:right w:w="108" w:type="dxa"/>
            </w:tcMar>
          </w:tcPr>
          <w:p w:rsidR="00550D95" w:rsidRDefault="00550D95" w:rsidP="00614306">
            <w:pPr>
              <w:spacing w:before="40" w:after="40"/>
              <w:jc w:val="center"/>
              <w:rPr>
                <w:rFonts w:cs="Arial"/>
                <w:color w:val="000000"/>
              </w:rPr>
            </w:pPr>
          </w:p>
        </w:tc>
        <w:tc>
          <w:tcPr>
            <w:tcW w:w="5812" w:type="dxa"/>
            <w:tcBorders>
              <w:top w:val="single" w:sz="4" w:space="0" w:color="auto"/>
              <w:left w:val="nil"/>
              <w:bottom w:val="nil"/>
              <w:right w:val="nil"/>
            </w:tcBorders>
            <w:shd w:val="clear" w:color="auto" w:fill="auto"/>
          </w:tcPr>
          <w:p w:rsidR="00550D95" w:rsidRDefault="00550D95" w:rsidP="00614306">
            <w:pPr>
              <w:spacing w:before="40" w:after="40"/>
              <w:rPr>
                <w:rFonts w:cs="Arial"/>
                <w:color w:val="000000"/>
              </w:rPr>
            </w:pPr>
          </w:p>
        </w:tc>
        <w:tc>
          <w:tcPr>
            <w:tcW w:w="1559" w:type="dxa"/>
            <w:tcBorders>
              <w:top w:val="single" w:sz="4" w:space="0" w:color="auto"/>
              <w:left w:val="nil"/>
              <w:bottom w:val="nil"/>
              <w:right w:val="nil"/>
            </w:tcBorders>
            <w:shd w:val="clear" w:color="auto" w:fill="auto"/>
          </w:tcPr>
          <w:p w:rsidR="00550D95" w:rsidRDefault="00550D95" w:rsidP="00614306">
            <w:pPr>
              <w:spacing w:before="40" w:after="40"/>
              <w:jc w:val="center"/>
              <w:rPr>
                <w:rFonts w:cs="Arial"/>
                <w:color w:val="000000"/>
              </w:rPr>
            </w:pPr>
          </w:p>
        </w:tc>
        <w:tc>
          <w:tcPr>
            <w:tcW w:w="1134" w:type="dxa"/>
            <w:tcBorders>
              <w:top w:val="single" w:sz="4" w:space="0" w:color="auto"/>
              <w:left w:val="nil"/>
              <w:bottom w:val="nil"/>
              <w:right w:val="nil"/>
            </w:tcBorders>
            <w:shd w:val="clear" w:color="auto" w:fill="auto"/>
          </w:tcPr>
          <w:p w:rsidR="00550D95" w:rsidRDefault="00550D95" w:rsidP="00614306">
            <w:pPr>
              <w:spacing w:before="40" w:after="40"/>
              <w:jc w:val="center"/>
              <w:rPr>
                <w:rFonts w:cs="Arial"/>
                <w:color w:val="000000"/>
              </w:rPr>
            </w:pPr>
          </w:p>
        </w:tc>
        <w:tc>
          <w:tcPr>
            <w:tcW w:w="1559" w:type="dxa"/>
            <w:tcBorders>
              <w:top w:val="single" w:sz="4" w:space="0" w:color="auto"/>
              <w:left w:val="nil"/>
              <w:bottom w:val="nil"/>
              <w:right w:val="nil"/>
            </w:tcBorders>
            <w:shd w:val="clear" w:color="auto" w:fill="auto"/>
          </w:tcPr>
          <w:p w:rsidR="00550D95" w:rsidRPr="00F46785" w:rsidRDefault="00550D95" w:rsidP="00614306">
            <w:pPr>
              <w:spacing w:before="40" w:after="40"/>
              <w:rPr>
                <w:rFonts w:cs="Arial"/>
                <w:color w:val="000000"/>
              </w:rPr>
            </w:pPr>
          </w:p>
        </w:tc>
      </w:tr>
      <w:tr w:rsidR="009C49B5" w:rsidTr="00550D95">
        <w:trPr>
          <w:trHeight w:val="300"/>
        </w:trPr>
        <w:tc>
          <w:tcPr>
            <w:tcW w:w="2410" w:type="dxa"/>
            <w:tcBorders>
              <w:top w:val="nil"/>
            </w:tcBorders>
            <w:shd w:val="clear" w:color="auto" w:fill="auto"/>
            <w:noWrap/>
          </w:tcPr>
          <w:p w:rsidR="00614306" w:rsidRDefault="00614306" w:rsidP="00614306">
            <w:pPr>
              <w:spacing w:before="40" w:after="40"/>
              <w:rPr>
                <w:rFonts w:cs="Arial"/>
                <w:color w:val="000000"/>
              </w:rPr>
            </w:pPr>
            <w:r>
              <w:rPr>
                <w:rFonts w:cs="Arial"/>
                <w:color w:val="000000"/>
              </w:rPr>
              <w:lastRenderedPageBreak/>
              <w:t>L</w:t>
            </w:r>
            <w:r w:rsidR="007408B7">
              <w:rPr>
                <w:rFonts w:cs="Arial"/>
                <w:color w:val="000000"/>
              </w:rPr>
              <w:t xml:space="preserve">ancashire </w:t>
            </w:r>
            <w:r>
              <w:rPr>
                <w:rFonts w:cs="Arial"/>
                <w:color w:val="000000"/>
              </w:rPr>
              <w:t>E</w:t>
            </w:r>
            <w:r w:rsidR="007408B7">
              <w:rPr>
                <w:rFonts w:cs="Arial"/>
                <w:color w:val="000000"/>
              </w:rPr>
              <w:t xml:space="preserve">nterprise </w:t>
            </w:r>
            <w:r>
              <w:rPr>
                <w:rFonts w:cs="Arial"/>
                <w:color w:val="000000"/>
              </w:rPr>
              <w:t>P</w:t>
            </w:r>
            <w:r w:rsidR="007408B7">
              <w:rPr>
                <w:rFonts w:cs="Arial"/>
                <w:color w:val="000000"/>
              </w:rPr>
              <w:t>artnership (LEP)</w:t>
            </w:r>
            <w:r>
              <w:rPr>
                <w:rFonts w:cs="Arial"/>
                <w:color w:val="000000"/>
              </w:rPr>
              <w:t xml:space="preserve"> Coordination</w:t>
            </w:r>
          </w:p>
        </w:tc>
        <w:tc>
          <w:tcPr>
            <w:tcW w:w="3402" w:type="dxa"/>
            <w:tcBorders>
              <w:top w:val="nil"/>
            </w:tcBorders>
            <w:shd w:val="clear" w:color="auto" w:fill="auto"/>
          </w:tcPr>
          <w:p w:rsidR="00614306" w:rsidRDefault="00614306" w:rsidP="00614306">
            <w:pPr>
              <w:spacing w:before="40" w:after="40"/>
              <w:rPr>
                <w:rFonts w:cs="Arial"/>
                <w:color w:val="000000"/>
              </w:rPr>
            </w:pPr>
            <w:r>
              <w:rPr>
                <w:rFonts w:cs="Arial"/>
                <w:color w:val="000000"/>
              </w:rPr>
              <w:t>Operation of the LEP assurance framework</w:t>
            </w:r>
          </w:p>
        </w:tc>
        <w:tc>
          <w:tcPr>
            <w:tcW w:w="4394" w:type="dxa"/>
            <w:tcBorders>
              <w:top w:val="nil"/>
            </w:tcBorders>
            <w:shd w:val="clear" w:color="auto" w:fill="auto"/>
            <w:noWrap/>
          </w:tcPr>
          <w:p w:rsidR="00614306" w:rsidRDefault="00614306" w:rsidP="00614306">
            <w:pPr>
              <w:spacing w:before="40" w:after="40"/>
              <w:rPr>
                <w:rFonts w:cs="Arial"/>
                <w:color w:val="000000"/>
              </w:rPr>
            </w:pPr>
            <w:r>
              <w:rPr>
                <w:rFonts w:cs="Arial"/>
                <w:color w:val="000000"/>
              </w:rPr>
              <w:t>Consideration of the adequacy of the assurance over the activities of the LEP following the change in legal status with effect from April 2019. (2019-53)</w:t>
            </w:r>
          </w:p>
        </w:tc>
        <w:tc>
          <w:tcPr>
            <w:tcW w:w="851" w:type="dxa"/>
            <w:tcBorders>
              <w:top w:val="nil"/>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top w:val="nil"/>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top w:val="nil"/>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top w:val="nil"/>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Planning &amp; Environment</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The Countryside Service</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Consideration of the adequacy and effectiveness of the processes and controls that ensure sites remain open and safe in accordance with the Occupiers Liability Act. (2019-54)</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bottom w:val="single" w:sz="4" w:space="0" w:color="auto"/>
            </w:tcBorders>
          </w:tcPr>
          <w:p w:rsidR="00614306" w:rsidRPr="00102BC7" w:rsidRDefault="00614306" w:rsidP="00614306">
            <w:pPr>
              <w:spacing w:before="40" w:after="40"/>
              <w:rPr>
                <w:rFonts w:cs="Arial"/>
                <w:color w:val="000000"/>
              </w:rPr>
            </w:pPr>
            <w:r>
              <w:rPr>
                <w:rFonts w:cs="Arial"/>
              </w:rPr>
              <w:t>Limited resources have resulted in gaps in the framework of control in 2019/20 but these will be addressed in the coming year.</w:t>
            </w:r>
          </w:p>
        </w:tc>
        <w:tc>
          <w:tcPr>
            <w:tcW w:w="1559" w:type="dxa"/>
            <w:tcBorders>
              <w:top w:val="nil"/>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9C49B5" w:rsidTr="00614306">
        <w:trPr>
          <w:trHeight w:val="300"/>
        </w:trPr>
        <w:tc>
          <w:tcPr>
            <w:tcW w:w="10206" w:type="dxa"/>
            <w:gridSpan w:val="3"/>
            <w:tcBorders>
              <w:top w:val="nil"/>
              <w:right w:val="nil"/>
            </w:tcBorders>
            <w:shd w:val="clear" w:color="auto" w:fill="auto"/>
            <w:noWrap/>
          </w:tcPr>
          <w:p w:rsidR="00614306" w:rsidRPr="00BF10C7" w:rsidRDefault="00614306" w:rsidP="00614306">
            <w:pPr>
              <w:spacing w:before="60" w:after="60"/>
              <w:rPr>
                <w:rFonts w:cs="Arial"/>
                <w:b/>
                <w:color w:val="000000"/>
              </w:rPr>
            </w:pPr>
            <w:r>
              <w:rPr>
                <w:rFonts w:cs="Arial"/>
                <w:b/>
                <w:color w:val="000000"/>
              </w:rPr>
              <w:t>Pension Fund</w:t>
            </w:r>
          </w:p>
        </w:tc>
        <w:tc>
          <w:tcPr>
            <w:tcW w:w="851" w:type="dxa"/>
            <w:tcBorders>
              <w:top w:val="nil"/>
              <w:left w:val="nil"/>
              <w:right w:val="nil"/>
            </w:tcBorders>
            <w:tcMar>
              <w:right w:w="108" w:type="dxa"/>
            </w:tcMar>
          </w:tcPr>
          <w:p w:rsidR="00614306" w:rsidRPr="006E2BC6" w:rsidRDefault="00614306" w:rsidP="00614306">
            <w:pPr>
              <w:spacing w:before="60" w:after="60"/>
              <w:jc w:val="center"/>
              <w:rPr>
                <w:rFonts w:cs="Arial"/>
                <w:color w:val="000000"/>
              </w:rPr>
            </w:pPr>
          </w:p>
        </w:tc>
        <w:tc>
          <w:tcPr>
            <w:tcW w:w="5812" w:type="dxa"/>
            <w:tcBorders>
              <w:top w:val="nil"/>
              <w:left w:val="nil"/>
              <w:right w:val="nil"/>
            </w:tcBorders>
          </w:tcPr>
          <w:p w:rsidR="00614306" w:rsidRPr="0071307A" w:rsidRDefault="00614306" w:rsidP="00614306">
            <w:pPr>
              <w:spacing w:before="60" w:after="60"/>
              <w:rPr>
                <w:rFonts w:cs="Arial"/>
              </w:rPr>
            </w:pPr>
          </w:p>
        </w:tc>
        <w:tc>
          <w:tcPr>
            <w:tcW w:w="1559" w:type="dxa"/>
            <w:tcBorders>
              <w:top w:val="nil"/>
              <w:left w:val="nil"/>
              <w:right w:val="nil"/>
            </w:tcBorders>
          </w:tcPr>
          <w:p w:rsidR="00614306" w:rsidRPr="00534482" w:rsidRDefault="00614306" w:rsidP="00614306">
            <w:pPr>
              <w:spacing w:before="60" w:after="60"/>
              <w:rPr>
                <w:rFonts w:cs="Arial"/>
              </w:rPr>
            </w:pPr>
          </w:p>
        </w:tc>
        <w:tc>
          <w:tcPr>
            <w:tcW w:w="1134" w:type="dxa"/>
            <w:tcBorders>
              <w:top w:val="nil"/>
              <w:left w:val="nil"/>
              <w:right w:val="nil"/>
            </w:tcBorders>
          </w:tcPr>
          <w:p w:rsidR="00614306" w:rsidRPr="00534482" w:rsidRDefault="00614306" w:rsidP="00614306">
            <w:pPr>
              <w:spacing w:before="60" w:after="60"/>
              <w:jc w:val="center"/>
              <w:rPr>
                <w:rFonts w:cs="Arial"/>
              </w:rPr>
            </w:pPr>
          </w:p>
        </w:tc>
        <w:tc>
          <w:tcPr>
            <w:tcW w:w="1559" w:type="dxa"/>
            <w:tcBorders>
              <w:top w:val="nil"/>
              <w:left w:val="nil"/>
            </w:tcBorders>
          </w:tcPr>
          <w:p w:rsidR="00614306" w:rsidRPr="00534482" w:rsidRDefault="00614306" w:rsidP="00614306">
            <w:pPr>
              <w:spacing w:before="60" w:after="60"/>
              <w:rPr>
                <w:rFonts w:cs="Arial"/>
              </w:rPr>
            </w:pPr>
          </w:p>
        </w:tc>
      </w:tr>
      <w:tr w:rsidR="009C49B5" w:rsidTr="00614306">
        <w:trPr>
          <w:trHeight w:val="300"/>
        </w:trPr>
        <w:tc>
          <w:tcPr>
            <w:tcW w:w="2410"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Pension Fund</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Collecting contributions from employers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controls over the collection of contributions from employers. (2019-55)</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tcPr>
          <w:p w:rsidR="00614306" w:rsidRPr="004F5129" w:rsidRDefault="00614306" w:rsidP="00944C54">
            <w:pPr>
              <w:spacing w:before="40" w:after="40"/>
              <w:rPr>
                <w:rFonts w:cs="Arial"/>
                <w:color w:val="000000"/>
              </w:rPr>
            </w:pPr>
            <w:r w:rsidRPr="009C736A">
              <w:rPr>
                <w:rFonts w:cs="Arial"/>
                <w:color w:val="000000"/>
              </w:rPr>
              <w:t>The control fram</w:t>
            </w:r>
            <w:r>
              <w:rPr>
                <w:rFonts w:cs="Arial"/>
                <w:color w:val="000000"/>
              </w:rPr>
              <w:t xml:space="preserve">eworks within both </w:t>
            </w:r>
            <w:r w:rsidR="00944C54">
              <w:rPr>
                <w:rFonts w:cs="Arial"/>
                <w:color w:val="000000"/>
              </w:rPr>
              <w:t>Lancashire Pension Partnership (</w:t>
            </w:r>
            <w:r>
              <w:rPr>
                <w:rFonts w:cs="Arial"/>
                <w:color w:val="000000"/>
              </w:rPr>
              <w:t>LPP</w:t>
            </w:r>
            <w:r w:rsidR="00944C54">
              <w:rPr>
                <w:rFonts w:cs="Arial"/>
                <w:color w:val="000000"/>
              </w:rPr>
              <w:t>)</w:t>
            </w:r>
            <w:r>
              <w:rPr>
                <w:rFonts w:cs="Arial"/>
                <w:color w:val="000000"/>
              </w:rPr>
              <w:t xml:space="preserve"> and </w:t>
            </w:r>
            <w:r w:rsidR="00944C54">
              <w:rPr>
                <w:rFonts w:cs="Arial"/>
                <w:color w:val="000000"/>
              </w:rPr>
              <w:t xml:space="preserve">the county council </w:t>
            </w:r>
            <w:r>
              <w:rPr>
                <w:rFonts w:cs="Arial"/>
                <w:color w:val="000000"/>
              </w:rPr>
              <w:t>are</w:t>
            </w:r>
            <w:r w:rsidRPr="009C736A">
              <w:rPr>
                <w:rFonts w:cs="Arial"/>
                <w:color w:val="000000"/>
              </w:rPr>
              <w:t xml:space="preserve"> adequately designed and operating effectively. The two organisations should ensure they share information better about the queries they raise with employers, as these are often the same.</w:t>
            </w:r>
          </w:p>
        </w:tc>
        <w:tc>
          <w:tcPr>
            <w:tcW w:w="1559" w:type="dxa"/>
            <w:tcBorders>
              <w:top w:val="single" w:sz="4" w:space="0" w:color="auto"/>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bottom w:val="single" w:sz="4" w:space="0" w:color="auto"/>
            </w:tcBorders>
          </w:tcPr>
          <w:p w:rsidR="00614306" w:rsidRPr="00BF10C7"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Pension Fund</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Employers' satisfaction with the Fund's administration</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Support to management through an independent survey of the employers' satisfaction with the Fund's administration. (2019-82)</w:t>
            </w:r>
          </w:p>
        </w:tc>
        <w:tc>
          <w:tcPr>
            <w:tcW w:w="851" w:type="dxa"/>
            <w:tcBorders>
              <w:top w:val="nil"/>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top w:val="nil"/>
              <w:bottom w:val="single" w:sz="4" w:space="0" w:color="auto"/>
            </w:tcBorders>
            <w:shd w:val="clear" w:color="auto" w:fill="auto"/>
          </w:tcPr>
          <w:p w:rsidR="00614306" w:rsidRPr="00146E1E" w:rsidRDefault="00614306" w:rsidP="00614306">
            <w:pPr>
              <w:spacing w:before="40" w:after="40"/>
              <w:rPr>
                <w:rFonts w:cs="Arial"/>
                <w:color w:val="000000"/>
              </w:rPr>
            </w:pPr>
            <w:r>
              <w:rPr>
                <w:rFonts w:cs="Arial"/>
                <w:color w:val="000000"/>
              </w:rPr>
              <w:t>T</w:t>
            </w:r>
            <w:r w:rsidRPr="00D16C33">
              <w:rPr>
                <w:rFonts w:cs="Arial"/>
                <w:color w:val="000000"/>
              </w:rPr>
              <w:t xml:space="preserve">he survey of employers has not </w:t>
            </w:r>
            <w:r>
              <w:rPr>
                <w:rFonts w:cs="Arial"/>
                <w:color w:val="000000"/>
              </w:rPr>
              <w:t>taken place so no support was necessary.</w:t>
            </w:r>
          </w:p>
        </w:tc>
        <w:tc>
          <w:tcPr>
            <w:tcW w:w="1559" w:type="dxa"/>
            <w:tcBorders>
              <w:top w:val="nil"/>
              <w:bottom w:val="single" w:sz="4" w:space="0" w:color="auto"/>
            </w:tcBorders>
            <w:shd w:val="clear" w:color="auto" w:fill="auto"/>
          </w:tcPr>
          <w:p w:rsidR="00614306" w:rsidRPr="00146E1E" w:rsidRDefault="00614306" w:rsidP="00614306">
            <w:pPr>
              <w:spacing w:before="40" w:after="40"/>
              <w:jc w:val="center"/>
              <w:rPr>
                <w:rFonts w:cs="Arial"/>
                <w:color w:val="000000"/>
              </w:rPr>
            </w:pPr>
            <w:r>
              <w:rPr>
                <w:rFonts w:cs="Arial"/>
                <w:color w:val="000000"/>
              </w:rPr>
              <w:t>N/A</w:t>
            </w:r>
          </w:p>
        </w:tc>
        <w:tc>
          <w:tcPr>
            <w:tcW w:w="1134" w:type="dxa"/>
            <w:tcBorders>
              <w:top w:val="nil"/>
              <w:bottom w:val="single" w:sz="4" w:space="0" w:color="auto"/>
            </w:tcBorders>
            <w:shd w:val="clear" w:color="auto" w:fill="auto"/>
          </w:tcPr>
          <w:p w:rsidR="00614306" w:rsidRPr="00146E1E"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shd w:val="clear" w:color="auto" w:fill="auto"/>
          </w:tcPr>
          <w:p w:rsidR="00614306" w:rsidRPr="00146E1E" w:rsidRDefault="00614306" w:rsidP="00614306">
            <w:pPr>
              <w:spacing w:before="40" w:after="40"/>
              <w:rPr>
                <w:rFonts w:cs="Arial"/>
                <w:color w:val="000000"/>
              </w:rPr>
            </w:pPr>
            <w:r>
              <w:rPr>
                <w:rFonts w:cs="Arial"/>
                <w:color w:val="000000"/>
              </w:rPr>
              <w:t>Not applicable</w:t>
            </w:r>
          </w:p>
        </w:tc>
      </w:tr>
      <w:tr w:rsidR="009C49B5" w:rsidTr="00614306">
        <w:trPr>
          <w:trHeight w:val="315"/>
        </w:trPr>
        <w:tc>
          <w:tcPr>
            <w:tcW w:w="5812" w:type="dxa"/>
            <w:gridSpan w:val="2"/>
            <w:tcBorders>
              <w:top w:val="nil"/>
              <w:bottom w:val="single" w:sz="4" w:space="0" w:color="auto"/>
              <w:right w:val="nil"/>
            </w:tcBorders>
            <w:shd w:val="clear" w:color="auto" w:fill="F2F2F2" w:themeFill="background1" w:themeFillShade="F2"/>
            <w:noWrap/>
            <w:hideMark/>
          </w:tcPr>
          <w:p w:rsidR="00614306" w:rsidRPr="00534482" w:rsidRDefault="00614306" w:rsidP="00614306">
            <w:pPr>
              <w:spacing w:before="60" w:after="60"/>
              <w:rPr>
                <w:rFonts w:cs="Arial"/>
                <w:color w:val="000000"/>
              </w:rPr>
            </w:pPr>
            <w:r>
              <w:rPr>
                <w:rFonts w:cs="Arial"/>
                <w:b/>
                <w:bCs/>
                <w:color w:val="000000"/>
              </w:rPr>
              <w:t xml:space="preserve">Control framework: </w:t>
            </w:r>
            <w:r w:rsidRPr="00534482">
              <w:rPr>
                <w:rFonts w:cs="Arial"/>
                <w:b/>
                <w:bCs/>
                <w:color w:val="000000"/>
              </w:rPr>
              <w:t>Service support</w:t>
            </w:r>
          </w:p>
        </w:tc>
        <w:tc>
          <w:tcPr>
            <w:tcW w:w="4394" w:type="dxa"/>
            <w:tcBorders>
              <w:top w:val="nil"/>
              <w:left w:val="nil"/>
              <w:bottom w:val="single" w:sz="4" w:space="0" w:color="auto"/>
              <w:right w:val="nil"/>
            </w:tcBorders>
            <w:shd w:val="clear" w:color="auto" w:fill="F2F2F2" w:themeFill="background1" w:themeFillShade="F2"/>
            <w:noWrap/>
          </w:tcPr>
          <w:p w:rsidR="00614306" w:rsidRPr="00534482" w:rsidRDefault="00614306" w:rsidP="00614306">
            <w:pPr>
              <w:spacing w:before="60" w:after="60"/>
              <w:rPr>
                <w:rFonts w:cs="Arial"/>
                <w:color w:val="000000"/>
              </w:rPr>
            </w:pPr>
          </w:p>
        </w:tc>
        <w:tc>
          <w:tcPr>
            <w:tcW w:w="851" w:type="dxa"/>
            <w:tcBorders>
              <w:top w:val="nil"/>
              <w:left w:val="nil"/>
              <w:bottom w:val="single" w:sz="4" w:space="0" w:color="auto"/>
              <w:right w:val="nil"/>
            </w:tcBorders>
            <w:shd w:val="clear" w:color="auto" w:fill="F2F2F2" w:themeFill="background1" w:themeFillShade="F2"/>
            <w:tcMar>
              <w:right w:w="108" w:type="dxa"/>
            </w:tcMar>
          </w:tcPr>
          <w:p w:rsidR="00614306" w:rsidRPr="00534482" w:rsidRDefault="00614306" w:rsidP="00614306">
            <w:pPr>
              <w:spacing w:before="60" w:after="60"/>
              <w:jc w:val="center"/>
              <w:rPr>
                <w:rFonts w:cs="Arial"/>
                <w:color w:val="000000"/>
              </w:rPr>
            </w:pPr>
          </w:p>
        </w:tc>
        <w:tc>
          <w:tcPr>
            <w:tcW w:w="5812" w:type="dxa"/>
            <w:tcBorders>
              <w:top w:val="nil"/>
              <w:left w:val="nil"/>
              <w:bottom w:val="single" w:sz="4" w:space="0" w:color="auto"/>
              <w:right w:val="nil"/>
            </w:tcBorders>
            <w:shd w:val="clear" w:color="auto" w:fill="F2F2F2" w:themeFill="background1" w:themeFillShade="F2"/>
          </w:tcPr>
          <w:p w:rsidR="00614306" w:rsidRPr="00B432EE" w:rsidRDefault="00614306" w:rsidP="00614306">
            <w:pPr>
              <w:spacing w:before="60" w:after="60"/>
              <w:rPr>
                <w:rFonts w:cs="Arial"/>
                <w:color w:val="BFBFBF" w:themeColor="background1" w:themeShade="BF"/>
              </w:rPr>
            </w:pPr>
          </w:p>
        </w:tc>
        <w:tc>
          <w:tcPr>
            <w:tcW w:w="1559" w:type="dxa"/>
            <w:tcBorders>
              <w:top w:val="nil"/>
              <w:left w:val="nil"/>
              <w:bottom w:val="single" w:sz="4" w:space="0" w:color="auto"/>
              <w:right w:val="nil"/>
            </w:tcBorders>
            <w:shd w:val="clear" w:color="auto" w:fill="F2F2F2" w:themeFill="background1" w:themeFillShade="F2"/>
          </w:tcPr>
          <w:p w:rsidR="00614306" w:rsidRPr="00534482" w:rsidRDefault="00614306" w:rsidP="00614306">
            <w:pPr>
              <w:spacing w:before="60" w:after="60"/>
              <w:rPr>
                <w:rFonts w:cs="Arial"/>
                <w:color w:val="000000"/>
              </w:rPr>
            </w:pPr>
          </w:p>
        </w:tc>
        <w:tc>
          <w:tcPr>
            <w:tcW w:w="1134" w:type="dxa"/>
            <w:tcBorders>
              <w:top w:val="nil"/>
              <w:left w:val="nil"/>
              <w:bottom w:val="single" w:sz="4" w:space="0" w:color="auto"/>
              <w:right w:val="nil"/>
            </w:tcBorders>
            <w:shd w:val="clear" w:color="auto" w:fill="F2F2F2" w:themeFill="background1" w:themeFillShade="F2"/>
          </w:tcPr>
          <w:p w:rsidR="00614306" w:rsidRPr="00534482" w:rsidRDefault="00614306" w:rsidP="00614306">
            <w:pPr>
              <w:spacing w:before="60" w:after="60"/>
              <w:jc w:val="center"/>
              <w:rPr>
                <w:rFonts w:cs="Arial"/>
                <w:color w:val="000000"/>
              </w:rPr>
            </w:pPr>
          </w:p>
        </w:tc>
        <w:tc>
          <w:tcPr>
            <w:tcW w:w="1559" w:type="dxa"/>
            <w:tcBorders>
              <w:top w:val="nil"/>
              <w:left w:val="nil"/>
              <w:bottom w:val="single" w:sz="4" w:space="0" w:color="auto"/>
              <w:right w:val="single" w:sz="4" w:space="0" w:color="auto"/>
            </w:tcBorders>
            <w:shd w:val="clear" w:color="auto" w:fill="F2F2F2" w:themeFill="background1" w:themeFillShade="F2"/>
          </w:tcPr>
          <w:p w:rsidR="00614306" w:rsidRPr="00534482" w:rsidRDefault="00614306" w:rsidP="00614306">
            <w:pPr>
              <w:spacing w:before="60" w:after="60"/>
              <w:rPr>
                <w:rFonts w:cs="Arial"/>
                <w:color w:val="000000"/>
              </w:rPr>
            </w:pP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Health, Safety &amp; Resilience</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Compliance with lone worker arrangements in services across the council</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For a sample of service areas, we will assess compliance with the new lone working arrangements introduced by the Health, Safety and Resilience team. (2019-56)</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bottom w:val="single" w:sz="4" w:space="0" w:color="auto"/>
            </w:tcBorders>
            <w:shd w:val="clear" w:color="auto" w:fill="auto"/>
          </w:tcPr>
          <w:p w:rsidR="00614306" w:rsidRPr="00146E1E"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bottom w:val="single" w:sz="4" w:space="0" w:color="auto"/>
            </w:tcBorders>
            <w:shd w:val="clear" w:color="auto" w:fill="auto"/>
          </w:tcPr>
          <w:p w:rsidR="00614306" w:rsidRPr="00BF10C7" w:rsidRDefault="00614306" w:rsidP="00614306">
            <w:pPr>
              <w:spacing w:before="40" w:after="40"/>
              <w:jc w:val="center"/>
              <w:rPr>
                <w:rFonts w:cs="Arial"/>
                <w:color w:val="000000"/>
              </w:rPr>
            </w:pPr>
            <w:r>
              <w:rPr>
                <w:rFonts w:cs="Arial"/>
                <w:color w:val="000000"/>
              </w:rPr>
              <w:t>X</w:t>
            </w:r>
          </w:p>
        </w:tc>
        <w:tc>
          <w:tcPr>
            <w:tcW w:w="1134" w:type="dxa"/>
            <w:tcBorders>
              <w:bottom w:val="single" w:sz="4" w:space="0" w:color="auto"/>
            </w:tcBorders>
            <w:shd w:val="clear" w:color="auto" w:fill="auto"/>
          </w:tcPr>
          <w:p w:rsidR="00614306" w:rsidRPr="00BF10C7" w:rsidRDefault="00614306" w:rsidP="00614306">
            <w:pPr>
              <w:spacing w:before="40" w:after="40"/>
              <w:jc w:val="center"/>
              <w:rPr>
                <w:rFonts w:cs="Arial"/>
                <w:color w:val="000000"/>
              </w:rPr>
            </w:pPr>
            <w:r>
              <w:rPr>
                <w:rFonts w:cs="Arial"/>
                <w:color w:val="000000"/>
              </w:rPr>
              <w:t>X</w:t>
            </w:r>
          </w:p>
        </w:tc>
        <w:tc>
          <w:tcPr>
            <w:tcW w:w="1559" w:type="dxa"/>
            <w:tcBorders>
              <w:bottom w:val="single" w:sz="4" w:space="0" w:color="auto"/>
            </w:tcBorders>
            <w:shd w:val="clear" w:color="auto" w:fill="auto"/>
          </w:tcPr>
          <w:p w:rsidR="00614306" w:rsidRPr="00BF10C7"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Core Systems</w:t>
            </w:r>
          </w:p>
        </w:tc>
        <w:tc>
          <w:tcPr>
            <w:tcW w:w="3402" w:type="dxa"/>
            <w:tcBorders>
              <w:bottom w:val="single" w:sz="4" w:space="0" w:color="auto"/>
            </w:tcBorders>
          </w:tcPr>
          <w:p w:rsidR="00614306" w:rsidRDefault="00614306" w:rsidP="00614306">
            <w:pPr>
              <w:spacing w:before="40" w:after="40"/>
              <w:rPr>
                <w:rFonts w:cs="Arial"/>
                <w:color w:val="000000"/>
              </w:rPr>
            </w:pPr>
            <w:r>
              <w:rPr>
                <w:rFonts w:cs="Arial"/>
                <w:color w:val="000000"/>
              </w:rPr>
              <w:t>Management and monitoring of system changes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 review of the adequacy of the controls in place over the introduction of changes to the core ICT systems. (2019-57)</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bottom w:val="single" w:sz="4" w:space="0" w:color="auto"/>
            </w:tcBorders>
          </w:tcPr>
          <w:p w:rsidR="00614306" w:rsidRPr="00146E1E" w:rsidRDefault="00614306" w:rsidP="00614306">
            <w:pPr>
              <w:spacing w:before="40" w:after="40"/>
              <w:rPr>
                <w:rFonts w:cs="Arial"/>
                <w:color w:val="000000"/>
              </w:rPr>
            </w:pPr>
            <w:r w:rsidRPr="009D72AF">
              <w:rPr>
                <w:rFonts w:cs="Arial"/>
                <w:color w:val="000000"/>
              </w:rPr>
              <w:t>Changes to the council's core IT systems are appropriately controlled by the service using the system, the Core Systems Service and BTLS.</w:t>
            </w:r>
          </w:p>
        </w:tc>
        <w:tc>
          <w:tcPr>
            <w:tcW w:w="1559" w:type="dxa"/>
            <w:tcBorders>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Core Systems</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Improved data management</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Work to understand the action being taken to improve the council's data quality and management. (2019-58)</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bottom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bottom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bottom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Asset Management</w:t>
            </w:r>
          </w:p>
        </w:tc>
        <w:tc>
          <w:tcPr>
            <w:tcW w:w="3402" w:type="dxa"/>
            <w:tcBorders>
              <w:bottom w:val="single" w:sz="4" w:space="0" w:color="auto"/>
            </w:tcBorders>
            <w:shd w:val="clear" w:color="auto" w:fill="auto"/>
          </w:tcPr>
          <w:p w:rsidR="00614306" w:rsidRDefault="00944C54" w:rsidP="00614306">
            <w:pPr>
              <w:spacing w:before="40" w:after="40"/>
              <w:rPr>
                <w:rFonts w:cs="Arial"/>
                <w:color w:val="000000"/>
              </w:rPr>
            </w:pPr>
            <w:r w:rsidRPr="00944C54">
              <w:rPr>
                <w:rFonts w:cs="Arial"/>
                <w:color w:val="000000"/>
              </w:rPr>
              <w:t>Premises Asset Management System</w:t>
            </w:r>
            <w:r>
              <w:rPr>
                <w:rFonts w:cs="Arial"/>
                <w:color w:val="000000"/>
              </w:rPr>
              <w:t xml:space="preserve"> (</w:t>
            </w:r>
            <w:r w:rsidR="00614306">
              <w:rPr>
                <w:rFonts w:cs="Arial"/>
                <w:color w:val="000000"/>
              </w:rPr>
              <w:t>PAMS</w:t>
            </w:r>
            <w:r>
              <w:rPr>
                <w:rFonts w:cs="Arial"/>
                <w:color w:val="000000"/>
              </w:rPr>
              <w:t>)</w:t>
            </w:r>
            <w:r w:rsidR="00614306">
              <w:rPr>
                <w:rFonts w:cs="Arial"/>
                <w:color w:val="000000"/>
              </w:rPr>
              <w:t xml:space="preserve"> improvement plan</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action being taken to ensure that PAMS properly supports the organisation's objectives and operates effectively. (2019-59)</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w:t>
            </w:r>
          </w:p>
        </w:tc>
        <w:tc>
          <w:tcPr>
            <w:tcW w:w="5812" w:type="dxa"/>
            <w:tcBorders>
              <w:bottom w:val="single" w:sz="4" w:space="0" w:color="auto"/>
            </w:tcBorders>
            <w:shd w:val="clear" w:color="auto" w:fill="auto"/>
          </w:tcPr>
          <w:p w:rsidR="00614306" w:rsidRPr="00146E1E" w:rsidRDefault="00614306" w:rsidP="00614306">
            <w:pPr>
              <w:spacing w:before="40" w:after="40"/>
              <w:rPr>
                <w:rFonts w:cs="Arial"/>
                <w:color w:val="000000"/>
              </w:rPr>
            </w:pPr>
            <w:r>
              <w:t>Improvements to PAMS are being addressed by individual services, reflecting the different specialisms and nature of the work areas, and it is to appropriate to audit them as a single programme.</w:t>
            </w:r>
          </w:p>
        </w:tc>
        <w:tc>
          <w:tcPr>
            <w:tcW w:w="1559" w:type="dxa"/>
            <w:tcBorders>
              <w:bottom w:val="single" w:sz="4" w:space="0" w:color="auto"/>
            </w:tcBorders>
            <w:shd w:val="clear" w:color="auto" w:fill="auto"/>
          </w:tcPr>
          <w:p w:rsidR="00614306" w:rsidRPr="00BF10C7" w:rsidRDefault="00614306" w:rsidP="00614306">
            <w:pPr>
              <w:spacing w:before="40" w:after="40"/>
              <w:jc w:val="center"/>
              <w:rPr>
                <w:rFonts w:cs="Arial"/>
                <w:color w:val="000000"/>
              </w:rPr>
            </w:pPr>
            <w:r>
              <w:rPr>
                <w:rFonts w:cs="Arial"/>
                <w:color w:val="000000"/>
              </w:rPr>
              <w:t>N/A</w:t>
            </w:r>
          </w:p>
        </w:tc>
        <w:tc>
          <w:tcPr>
            <w:tcW w:w="1134" w:type="dxa"/>
            <w:tcBorders>
              <w:bottom w:val="single" w:sz="4" w:space="0" w:color="auto"/>
            </w:tcBorders>
            <w:shd w:val="clear" w:color="auto" w:fill="auto"/>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550D95">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Asset Management</w:t>
            </w:r>
          </w:p>
        </w:tc>
        <w:tc>
          <w:tcPr>
            <w:tcW w:w="3402" w:type="dxa"/>
            <w:tcBorders>
              <w:bottom w:val="single" w:sz="4" w:space="0" w:color="auto"/>
            </w:tcBorders>
          </w:tcPr>
          <w:p w:rsidR="00614306" w:rsidRDefault="00614306" w:rsidP="00614306">
            <w:pPr>
              <w:spacing w:before="40" w:after="40"/>
              <w:rPr>
                <w:rFonts w:cs="Arial"/>
                <w:color w:val="000000"/>
              </w:rPr>
            </w:pPr>
            <w:r>
              <w:rPr>
                <w:rFonts w:cs="Arial"/>
                <w:color w:val="000000"/>
              </w:rPr>
              <w:t>Highways authority funding</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adequacy and effectiveness of the arrangements underpinning the completion of the Highways Authority self-assessment. (2019-60)</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bottom w:val="single" w:sz="4" w:space="0" w:color="auto"/>
            </w:tcBorders>
          </w:tcPr>
          <w:p w:rsidR="00614306" w:rsidRPr="00E010A2" w:rsidRDefault="00614306" w:rsidP="00614306">
            <w:pPr>
              <w:spacing w:before="40" w:after="40"/>
              <w:rPr>
                <w:rFonts w:cs="Arial"/>
                <w:color w:val="000000"/>
              </w:rPr>
            </w:pPr>
            <w:r w:rsidRPr="00E010A2">
              <w:rPr>
                <w:rFonts w:cs="Arial"/>
                <w:color w:val="000000"/>
              </w:rPr>
              <w:t>The framework of control is adequately designed, but some actions are required to ensure that it meets the requirements of the Department for Transport self-assessment guidelines and the service's objectives.</w:t>
            </w:r>
          </w:p>
        </w:tc>
        <w:tc>
          <w:tcPr>
            <w:tcW w:w="1559" w:type="dxa"/>
            <w:tcBorders>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550D95" w:rsidTr="00550D95">
        <w:trPr>
          <w:trHeight w:val="300"/>
        </w:trPr>
        <w:tc>
          <w:tcPr>
            <w:tcW w:w="2410" w:type="dxa"/>
            <w:tcBorders>
              <w:top w:val="single" w:sz="4" w:space="0" w:color="auto"/>
              <w:left w:val="nil"/>
              <w:bottom w:val="nil"/>
              <w:right w:val="nil"/>
            </w:tcBorders>
            <w:shd w:val="clear" w:color="auto" w:fill="auto"/>
            <w:noWrap/>
          </w:tcPr>
          <w:p w:rsidR="00550D95" w:rsidRDefault="00550D95" w:rsidP="00614306">
            <w:pPr>
              <w:spacing w:before="40" w:after="40"/>
              <w:rPr>
                <w:rFonts w:cs="Arial"/>
                <w:color w:val="000000"/>
              </w:rPr>
            </w:pPr>
          </w:p>
        </w:tc>
        <w:tc>
          <w:tcPr>
            <w:tcW w:w="3402" w:type="dxa"/>
            <w:tcBorders>
              <w:top w:val="single" w:sz="4" w:space="0" w:color="auto"/>
              <w:left w:val="nil"/>
              <w:bottom w:val="nil"/>
              <w:right w:val="nil"/>
            </w:tcBorders>
            <w:shd w:val="clear" w:color="auto" w:fill="auto"/>
          </w:tcPr>
          <w:p w:rsidR="00550D95" w:rsidRDefault="00550D95" w:rsidP="00614306">
            <w:pPr>
              <w:spacing w:before="40" w:after="40"/>
              <w:rPr>
                <w:rFonts w:cs="Arial"/>
                <w:color w:val="000000"/>
              </w:rPr>
            </w:pPr>
          </w:p>
        </w:tc>
        <w:tc>
          <w:tcPr>
            <w:tcW w:w="4394" w:type="dxa"/>
            <w:tcBorders>
              <w:top w:val="single" w:sz="4" w:space="0" w:color="auto"/>
              <w:left w:val="nil"/>
              <w:bottom w:val="nil"/>
              <w:right w:val="nil"/>
            </w:tcBorders>
            <w:shd w:val="clear" w:color="auto" w:fill="auto"/>
            <w:noWrap/>
          </w:tcPr>
          <w:p w:rsidR="00550D95" w:rsidRDefault="00550D95" w:rsidP="00614306">
            <w:pPr>
              <w:spacing w:before="40" w:after="40"/>
              <w:rPr>
                <w:rFonts w:cs="Arial"/>
                <w:color w:val="000000"/>
              </w:rPr>
            </w:pPr>
          </w:p>
        </w:tc>
        <w:tc>
          <w:tcPr>
            <w:tcW w:w="851" w:type="dxa"/>
            <w:tcBorders>
              <w:top w:val="single" w:sz="4" w:space="0" w:color="auto"/>
              <w:left w:val="nil"/>
              <w:bottom w:val="nil"/>
              <w:right w:val="nil"/>
            </w:tcBorders>
            <w:shd w:val="clear" w:color="auto" w:fill="auto"/>
            <w:tcMar>
              <w:right w:w="108" w:type="dxa"/>
            </w:tcMar>
          </w:tcPr>
          <w:p w:rsidR="00550D95" w:rsidRDefault="00550D95" w:rsidP="00614306">
            <w:pPr>
              <w:spacing w:before="40" w:after="40"/>
              <w:jc w:val="center"/>
              <w:rPr>
                <w:rFonts w:cs="Arial"/>
                <w:color w:val="000000"/>
              </w:rPr>
            </w:pPr>
          </w:p>
        </w:tc>
        <w:tc>
          <w:tcPr>
            <w:tcW w:w="5812" w:type="dxa"/>
            <w:tcBorders>
              <w:top w:val="single" w:sz="4" w:space="0" w:color="auto"/>
              <w:left w:val="nil"/>
              <w:bottom w:val="nil"/>
              <w:right w:val="nil"/>
            </w:tcBorders>
            <w:shd w:val="clear" w:color="auto" w:fill="auto"/>
          </w:tcPr>
          <w:p w:rsidR="00550D95" w:rsidRDefault="00550D95" w:rsidP="00614306">
            <w:pPr>
              <w:spacing w:before="40" w:after="40"/>
            </w:pPr>
          </w:p>
        </w:tc>
        <w:tc>
          <w:tcPr>
            <w:tcW w:w="1559" w:type="dxa"/>
            <w:tcBorders>
              <w:top w:val="single" w:sz="4" w:space="0" w:color="auto"/>
              <w:left w:val="nil"/>
              <w:bottom w:val="nil"/>
              <w:right w:val="nil"/>
            </w:tcBorders>
            <w:shd w:val="clear" w:color="auto" w:fill="auto"/>
          </w:tcPr>
          <w:p w:rsidR="00550D95" w:rsidRDefault="00550D95" w:rsidP="00614306">
            <w:pPr>
              <w:spacing w:before="40" w:after="40"/>
              <w:jc w:val="center"/>
              <w:rPr>
                <w:rFonts w:cs="Arial"/>
                <w:color w:val="000000"/>
              </w:rPr>
            </w:pPr>
          </w:p>
        </w:tc>
        <w:tc>
          <w:tcPr>
            <w:tcW w:w="1134" w:type="dxa"/>
            <w:tcBorders>
              <w:top w:val="single" w:sz="4" w:space="0" w:color="auto"/>
              <w:left w:val="nil"/>
              <w:bottom w:val="nil"/>
              <w:right w:val="nil"/>
            </w:tcBorders>
            <w:shd w:val="clear" w:color="auto" w:fill="auto"/>
          </w:tcPr>
          <w:p w:rsidR="00550D95" w:rsidRDefault="00550D95" w:rsidP="00614306">
            <w:pPr>
              <w:spacing w:before="40" w:after="40"/>
              <w:jc w:val="center"/>
              <w:rPr>
                <w:rFonts w:ascii="Wingdings" w:hAnsi="Wingdings" w:cs="Arial"/>
                <w:color w:val="000000"/>
              </w:rPr>
            </w:pPr>
          </w:p>
        </w:tc>
        <w:tc>
          <w:tcPr>
            <w:tcW w:w="1559" w:type="dxa"/>
            <w:tcBorders>
              <w:top w:val="single" w:sz="4" w:space="0" w:color="auto"/>
              <w:left w:val="nil"/>
              <w:bottom w:val="nil"/>
              <w:right w:val="nil"/>
            </w:tcBorders>
            <w:shd w:val="clear" w:color="auto" w:fill="auto"/>
          </w:tcPr>
          <w:p w:rsidR="00550D95" w:rsidRPr="00F46785" w:rsidRDefault="00550D95" w:rsidP="00614306">
            <w:pPr>
              <w:spacing w:before="40" w:after="40"/>
              <w:rPr>
                <w:rFonts w:cs="Arial"/>
                <w:color w:val="000000"/>
              </w:rPr>
            </w:pPr>
          </w:p>
        </w:tc>
      </w:tr>
      <w:tr w:rsidR="009C49B5" w:rsidTr="00550D95">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lastRenderedPageBreak/>
              <w:t>Asset Management</w:t>
            </w:r>
          </w:p>
        </w:tc>
        <w:tc>
          <w:tcPr>
            <w:tcW w:w="3402" w:type="dxa"/>
            <w:tcBorders>
              <w:top w:val="nil"/>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Contract monitoring: Building Schools for the Future (BSF) contracts</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procedures in place to monitor the BSF contracts, both their financial performance and in relation to the health and safety of staff and students in the school buildings. (2019-61)</w:t>
            </w:r>
          </w:p>
        </w:tc>
        <w:tc>
          <w:tcPr>
            <w:tcW w:w="851" w:type="dxa"/>
            <w:tcBorders>
              <w:top w:val="nil"/>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nil"/>
              <w:bottom w:val="single" w:sz="4" w:space="0" w:color="auto"/>
            </w:tcBorders>
            <w:shd w:val="clear" w:color="auto" w:fill="auto"/>
          </w:tcPr>
          <w:p w:rsidR="00614306" w:rsidRPr="00146E1E" w:rsidRDefault="00614306" w:rsidP="00614306">
            <w:pPr>
              <w:spacing w:before="40" w:after="40"/>
              <w:rPr>
                <w:rFonts w:cs="Arial"/>
                <w:color w:val="000000"/>
              </w:rPr>
            </w:pPr>
            <w:r>
              <w:t>The arrangements supporting renewed oversight of the contracts to operate the schools in Burnley under the former Building Schools for the Future programme are being revised and the audit was therefore deferred.</w:t>
            </w:r>
          </w:p>
        </w:tc>
        <w:tc>
          <w:tcPr>
            <w:tcW w:w="1559" w:type="dxa"/>
            <w:tcBorders>
              <w:top w:val="nil"/>
              <w:bottom w:val="single" w:sz="4" w:space="0" w:color="auto"/>
            </w:tcBorders>
            <w:shd w:val="clear" w:color="auto" w:fill="auto"/>
          </w:tcPr>
          <w:p w:rsidR="00614306" w:rsidRPr="00BF10C7" w:rsidRDefault="00614306" w:rsidP="00614306">
            <w:pPr>
              <w:spacing w:before="40" w:after="40"/>
              <w:jc w:val="center"/>
              <w:rPr>
                <w:rFonts w:cs="Arial"/>
                <w:color w:val="000000"/>
              </w:rPr>
            </w:pPr>
            <w:r>
              <w:rPr>
                <w:rFonts w:cs="Arial"/>
                <w:color w:val="000000"/>
              </w:rPr>
              <w:t>N/A</w:t>
            </w:r>
          </w:p>
        </w:tc>
        <w:tc>
          <w:tcPr>
            <w:tcW w:w="1134" w:type="dxa"/>
            <w:tcBorders>
              <w:top w:val="nil"/>
              <w:bottom w:val="single" w:sz="4" w:space="0" w:color="auto"/>
            </w:tcBorders>
            <w:shd w:val="clear" w:color="auto" w:fill="auto"/>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Asset Management</w:t>
            </w:r>
          </w:p>
        </w:tc>
        <w:tc>
          <w:tcPr>
            <w:tcW w:w="3402" w:type="dxa"/>
            <w:tcBorders>
              <w:bottom w:val="single" w:sz="4" w:space="0" w:color="auto"/>
            </w:tcBorders>
          </w:tcPr>
          <w:p w:rsidR="00614306" w:rsidRDefault="00614306" w:rsidP="00614306">
            <w:pPr>
              <w:spacing w:before="40" w:after="40"/>
              <w:rPr>
                <w:rFonts w:cs="Arial"/>
                <w:color w:val="000000"/>
              </w:rPr>
            </w:pPr>
            <w:r>
              <w:rPr>
                <w:rFonts w:cs="Arial"/>
                <w:color w:val="000000"/>
              </w:rPr>
              <w:t>Premises compliance: health and safety in properties managed by the council</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process by which compliance with statutory and other requirements is assured by the compliance team for properties managed by the council. (2019-62)</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bottom w:val="single" w:sz="4" w:space="0" w:color="auto"/>
            </w:tcBorders>
          </w:tcPr>
          <w:p w:rsidR="00614306" w:rsidRPr="00146E1E" w:rsidRDefault="00614306" w:rsidP="00614306">
            <w:pPr>
              <w:spacing w:before="40" w:after="40"/>
              <w:rPr>
                <w:rFonts w:cs="Arial"/>
                <w:color w:val="000000"/>
              </w:rPr>
            </w:pPr>
            <w:r w:rsidRPr="00003784">
              <w:rPr>
                <w:rFonts w:cs="Arial"/>
                <w:color w:val="000000"/>
              </w:rPr>
              <w:t>Whilst the current inspection process is comprehensive, there are some significant weaknesses in its effectiveness including insufficient visits to properties, a poor return rate of annual statements of compliance and a lack of assurance that weaknesses have been addressed.</w:t>
            </w:r>
          </w:p>
        </w:tc>
        <w:tc>
          <w:tcPr>
            <w:tcW w:w="1559" w:type="dxa"/>
            <w:tcBorders>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bottom w:val="single" w:sz="4" w:space="0" w:color="auto"/>
            </w:tcBorders>
          </w:tcPr>
          <w:p w:rsidR="00614306" w:rsidRPr="00BF10C7" w:rsidRDefault="00614306" w:rsidP="00614306">
            <w:pPr>
              <w:spacing w:before="40" w:after="40"/>
              <w:jc w:val="center"/>
              <w:rPr>
                <w:rFonts w:cs="Arial"/>
                <w:color w:val="000000"/>
              </w:rPr>
            </w:pPr>
            <w:r>
              <w:rPr>
                <w:rFonts w:cs="Arial"/>
                <w:color w:val="000000"/>
              </w:rPr>
              <w:t>X</w:t>
            </w:r>
          </w:p>
        </w:tc>
        <w:tc>
          <w:tcPr>
            <w:tcW w:w="1559" w:type="dxa"/>
            <w:tcBorders>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Limited</w:t>
            </w:r>
          </w:p>
        </w:tc>
      </w:tr>
      <w:tr w:rsidR="009C49B5" w:rsidTr="00614306">
        <w:trPr>
          <w:trHeight w:val="300"/>
        </w:trPr>
        <w:tc>
          <w:tcPr>
            <w:tcW w:w="2410" w:type="dxa"/>
            <w:tcBorders>
              <w:top w:val="nil"/>
              <w:bottom w:val="single" w:sz="4" w:space="0" w:color="auto"/>
            </w:tcBorders>
            <w:shd w:val="clear" w:color="auto" w:fill="auto"/>
            <w:noWrap/>
          </w:tcPr>
          <w:p w:rsidR="00614306" w:rsidRPr="009B63AF" w:rsidRDefault="00614306" w:rsidP="00614306">
            <w:pPr>
              <w:spacing w:before="40" w:after="40"/>
              <w:rPr>
                <w:rFonts w:cs="Arial"/>
              </w:rPr>
            </w:pPr>
            <w:r w:rsidRPr="009B63AF">
              <w:rPr>
                <w:rFonts w:cs="Arial"/>
              </w:rPr>
              <w:t>Asset Management</w:t>
            </w:r>
          </w:p>
        </w:tc>
        <w:tc>
          <w:tcPr>
            <w:tcW w:w="3402" w:type="dxa"/>
            <w:tcBorders>
              <w:bottom w:val="single" w:sz="4" w:space="0" w:color="auto"/>
            </w:tcBorders>
          </w:tcPr>
          <w:p w:rsidR="00614306" w:rsidRDefault="00614306" w:rsidP="00614306">
            <w:pPr>
              <w:spacing w:before="40" w:after="40"/>
              <w:rPr>
                <w:rFonts w:cs="Arial"/>
                <w:color w:val="000000"/>
              </w:rPr>
            </w:pPr>
            <w:r>
              <w:rPr>
                <w:rFonts w:cs="Arial"/>
                <w:color w:val="000000"/>
              </w:rPr>
              <w:t>CCTV surveillance conducted from the council's estate</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 xml:space="preserve">Confirmation that the council is compliant with </w:t>
            </w:r>
            <w:r w:rsidR="00D1014D">
              <w:rPr>
                <w:rFonts w:cs="Arial"/>
                <w:color w:val="000000"/>
              </w:rPr>
              <w:t>the General Data Protection Regulation (</w:t>
            </w:r>
            <w:r>
              <w:rPr>
                <w:rFonts w:cs="Arial"/>
                <w:color w:val="000000"/>
              </w:rPr>
              <w:t>GDPR</w:t>
            </w:r>
            <w:r w:rsidR="00D1014D">
              <w:rPr>
                <w:rFonts w:cs="Arial"/>
                <w:color w:val="000000"/>
              </w:rPr>
              <w:t>)</w:t>
            </w:r>
            <w:r>
              <w:rPr>
                <w:rFonts w:cs="Arial"/>
                <w:color w:val="000000"/>
              </w:rPr>
              <w:t xml:space="preserve"> and any requirements related to the use of CCTV cameras and retention of data obtained from them. (2019-63)</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bottom w:val="single" w:sz="4" w:space="0" w:color="auto"/>
            </w:tcBorders>
          </w:tcPr>
          <w:p w:rsidR="00614306" w:rsidRPr="00C00E77" w:rsidRDefault="00614306" w:rsidP="00614306">
            <w:pPr>
              <w:spacing w:before="40" w:after="40"/>
              <w:rPr>
                <w:rFonts w:cs="Arial"/>
              </w:rPr>
            </w:pPr>
            <w:r w:rsidRPr="00C00E77">
              <w:rPr>
                <w:rFonts w:cs="Arial"/>
              </w:rPr>
              <w:t>The council's arrangements for the use of CCTV span more than one service, none of which has overall control. Audit work has therefore been problematic over a number of years and has still not been progressed. However</w:t>
            </w:r>
            <w:r>
              <w:rPr>
                <w:rFonts w:cs="Arial"/>
              </w:rPr>
              <w:t>,</w:t>
            </w:r>
            <w:r w:rsidRPr="00C00E77">
              <w:rPr>
                <w:rFonts w:cs="Arial"/>
              </w:rPr>
              <w:t xml:space="preserve"> on this basis</w:t>
            </w:r>
            <w:r>
              <w:rPr>
                <w:rFonts w:cs="Arial"/>
              </w:rPr>
              <w:t>,</w:t>
            </w:r>
            <w:r w:rsidRPr="00C00E77">
              <w:rPr>
                <w:rFonts w:cs="Arial"/>
              </w:rPr>
              <w:t xml:space="preserve"> assurance that the council is compliant with the relevant regulations cannot be more than limited.</w:t>
            </w:r>
          </w:p>
        </w:tc>
        <w:tc>
          <w:tcPr>
            <w:tcW w:w="1559" w:type="dxa"/>
            <w:tcBorders>
              <w:bottom w:val="single" w:sz="4" w:space="0" w:color="auto"/>
            </w:tcBorders>
          </w:tcPr>
          <w:p w:rsidR="00614306" w:rsidRPr="00BF10C7" w:rsidRDefault="00614306" w:rsidP="00614306">
            <w:pPr>
              <w:spacing w:before="40" w:after="40"/>
              <w:jc w:val="center"/>
              <w:rPr>
                <w:rFonts w:cs="Arial"/>
                <w:color w:val="000000"/>
              </w:rPr>
            </w:pPr>
            <w:r>
              <w:rPr>
                <w:rFonts w:cs="Arial"/>
                <w:color w:val="000000"/>
              </w:rPr>
              <w:t>X</w:t>
            </w:r>
          </w:p>
        </w:tc>
        <w:tc>
          <w:tcPr>
            <w:tcW w:w="1134" w:type="dxa"/>
            <w:tcBorders>
              <w:bottom w:val="single" w:sz="4" w:space="0" w:color="auto"/>
            </w:tcBorders>
          </w:tcPr>
          <w:p w:rsidR="00614306" w:rsidRPr="00BF10C7" w:rsidRDefault="00614306" w:rsidP="00614306">
            <w:pPr>
              <w:spacing w:before="40" w:after="40"/>
              <w:jc w:val="center"/>
              <w:rPr>
                <w:rFonts w:cs="Arial"/>
                <w:color w:val="000000"/>
              </w:rPr>
            </w:pPr>
            <w:r>
              <w:rPr>
                <w:rFonts w:cs="Arial"/>
                <w:color w:val="000000"/>
              </w:rPr>
              <w:t>X</w:t>
            </w:r>
          </w:p>
        </w:tc>
        <w:tc>
          <w:tcPr>
            <w:tcW w:w="1559" w:type="dxa"/>
            <w:tcBorders>
              <w:bottom w:val="single" w:sz="4" w:space="0" w:color="auto"/>
            </w:tcBorders>
          </w:tcPr>
          <w:p w:rsidR="00614306" w:rsidRPr="00BF10C7" w:rsidRDefault="00614306" w:rsidP="00614306">
            <w:pPr>
              <w:spacing w:before="40" w:after="40"/>
              <w:rPr>
                <w:rFonts w:cs="Arial"/>
                <w:color w:val="000000"/>
              </w:rPr>
            </w:pPr>
            <w:r w:rsidRPr="00F46785">
              <w:rPr>
                <w:rFonts w:cs="Arial"/>
              </w:rPr>
              <w:t>Limited</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Skills, Learning &amp; Development</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Implementation of the new e-learning system</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Assessment of the controls supporting the effective implementation of the system, focussing on the areas of the council most reliant on staff training and development. (2019-64)</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bottom w:val="single" w:sz="4" w:space="0" w:color="auto"/>
            </w:tcBorders>
            <w:shd w:val="clear" w:color="auto" w:fill="auto"/>
          </w:tcPr>
          <w:p w:rsidR="00614306" w:rsidRPr="00146E1E" w:rsidRDefault="00614306" w:rsidP="00614306">
            <w:pPr>
              <w:spacing w:before="40" w:after="40"/>
              <w:rPr>
                <w:rFonts w:cs="Arial"/>
                <w:color w:val="000000"/>
              </w:rPr>
            </w:pPr>
            <w:r>
              <w:rPr>
                <w:rFonts w:cs="Arial"/>
                <w:color w:val="000000"/>
              </w:rPr>
              <w:t>The implementation of a new system has not yet been progressed. The Internal Audit Service will participate in the project board when it begins to meet again.</w:t>
            </w:r>
          </w:p>
        </w:tc>
        <w:tc>
          <w:tcPr>
            <w:tcW w:w="1559" w:type="dxa"/>
            <w:tcBorders>
              <w:bottom w:val="single" w:sz="4" w:space="0" w:color="auto"/>
            </w:tcBorders>
            <w:shd w:val="clear" w:color="auto" w:fill="auto"/>
          </w:tcPr>
          <w:p w:rsidR="00614306" w:rsidRPr="00BF10C7" w:rsidRDefault="00614306" w:rsidP="00614306">
            <w:pPr>
              <w:spacing w:before="40" w:after="40"/>
              <w:jc w:val="center"/>
              <w:rPr>
                <w:rFonts w:cs="Arial"/>
                <w:color w:val="000000"/>
              </w:rPr>
            </w:pPr>
            <w:r>
              <w:rPr>
                <w:rFonts w:cs="Arial"/>
                <w:color w:val="000000"/>
              </w:rPr>
              <w:t>N/A</w:t>
            </w:r>
          </w:p>
        </w:tc>
        <w:tc>
          <w:tcPr>
            <w:tcW w:w="1134" w:type="dxa"/>
            <w:tcBorders>
              <w:bottom w:val="single" w:sz="4" w:space="0" w:color="auto"/>
            </w:tcBorders>
            <w:shd w:val="clear" w:color="auto" w:fill="auto"/>
          </w:tcPr>
          <w:p w:rsidR="00614306" w:rsidRPr="00BF10C7" w:rsidRDefault="00614306" w:rsidP="00614306">
            <w:pPr>
              <w:spacing w:before="40" w:after="40"/>
              <w:jc w:val="center"/>
              <w:rPr>
                <w:rFonts w:cs="Arial"/>
                <w:color w:val="000000"/>
              </w:rPr>
            </w:pPr>
            <w:r>
              <w:rPr>
                <w:rFonts w:cs="Arial"/>
                <w:color w:val="000000"/>
              </w:rPr>
              <w:t>X</w:t>
            </w:r>
          </w:p>
        </w:tc>
        <w:tc>
          <w:tcPr>
            <w:tcW w:w="1559" w:type="dxa"/>
            <w:tcBorders>
              <w:bottom w:val="single" w:sz="4" w:space="0" w:color="auto"/>
            </w:tcBorders>
            <w:shd w:val="clear" w:color="auto" w:fill="auto"/>
          </w:tcPr>
          <w:p w:rsidR="00614306" w:rsidRPr="00BF10C7"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Human Resources</w:t>
            </w:r>
          </w:p>
        </w:tc>
        <w:tc>
          <w:tcPr>
            <w:tcW w:w="3402" w:type="dxa"/>
            <w:tcBorders>
              <w:bottom w:val="single" w:sz="4" w:space="0" w:color="auto"/>
            </w:tcBorders>
          </w:tcPr>
          <w:p w:rsidR="00614306" w:rsidRDefault="00614306" w:rsidP="00614306">
            <w:pPr>
              <w:spacing w:before="40" w:after="40"/>
              <w:rPr>
                <w:rFonts w:cs="Arial"/>
                <w:color w:val="000000"/>
              </w:rPr>
            </w:pPr>
            <w:r>
              <w:rPr>
                <w:rFonts w:cs="Arial"/>
                <w:color w:val="000000"/>
              </w:rPr>
              <w:t>Sickness absence management</w:t>
            </w:r>
          </w:p>
        </w:tc>
        <w:tc>
          <w:tcPr>
            <w:tcW w:w="4394" w:type="dxa"/>
            <w:tcBorders>
              <w:bottom w:val="single" w:sz="4" w:space="0" w:color="auto"/>
            </w:tcBorders>
            <w:shd w:val="clear" w:color="auto" w:fill="auto"/>
            <w:noWrap/>
          </w:tcPr>
          <w:p w:rsidR="00614306" w:rsidRPr="00F46785" w:rsidRDefault="00614306" w:rsidP="00614306">
            <w:pPr>
              <w:spacing w:before="40" w:after="40"/>
              <w:rPr>
                <w:rFonts w:cs="Arial"/>
              </w:rPr>
            </w:pPr>
            <w:r w:rsidRPr="00F46785">
              <w:rPr>
                <w:rFonts w:cs="Arial"/>
              </w:rPr>
              <w:t>Assessment of the corporate management of sickness absence, by performance monitoring and the provision of support to operational managers. (2019-65)</w:t>
            </w:r>
          </w:p>
        </w:tc>
        <w:tc>
          <w:tcPr>
            <w:tcW w:w="851" w:type="dxa"/>
            <w:tcBorders>
              <w:bottom w:val="single" w:sz="4" w:space="0" w:color="auto"/>
            </w:tcBorders>
            <w:tcMar>
              <w:right w:w="108" w:type="dxa"/>
            </w:tcMar>
          </w:tcPr>
          <w:p w:rsidR="00614306" w:rsidRPr="00F46785" w:rsidRDefault="00614306" w:rsidP="00614306">
            <w:pPr>
              <w:spacing w:before="40" w:after="40"/>
              <w:jc w:val="center"/>
              <w:rPr>
                <w:rFonts w:cs="Arial"/>
              </w:rPr>
            </w:pPr>
            <w:r w:rsidRPr="00F46785">
              <w:rPr>
                <w:rFonts w:cs="Arial"/>
              </w:rPr>
              <w:t>1</w:t>
            </w:r>
          </w:p>
        </w:tc>
        <w:tc>
          <w:tcPr>
            <w:tcW w:w="5812" w:type="dxa"/>
            <w:tcBorders>
              <w:bottom w:val="single" w:sz="4" w:space="0" w:color="auto"/>
            </w:tcBorders>
          </w:tcPr>
          <w:p w:rsidR="00614306" w:rsidRPr="00864094" w:rsidRDefault="00614306" w:rsidP="00614306">
            <w:pPr>
              <w:spacing w:before="40" w:after="40"/>
              <w:rPr>
                <w:rFonts w:cs="Arial"/>
                <w:color w:val="000000"/>
              </w:rPr>
            </w:pPr>
            <w:r w:rsidRPr="00864094">
              <w:rPr>
                <w:rFonts w:cs="Arial"/>
                <w:color w:val="000000"/>
              </w:rPr>
              <w:t>The framework of corporate controls over sickness absence appears adequately designed to achieve the council's objective of minimising the number of days lost to sickness if operated effectively by its managers.</w:t>
            </w:r>
          </w:p>
        </w:tc>
        <w:tc>
          <w:tcPr>
            <w:tcW w:w="1559" w:type="dxa"/>
            <w:tcBorders>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bottom w:val="single" w:sz="4" w:space="0" w:color="auto"/>
            </w:tcBorders>
          </w:tcPr>
          <w:p w:rsidR="00614306" w:rsidRPr="00BF10C7" w:rsidRDefault="00614306" w:rsidP="00614306">
            <w:pPr>
              <w:spacing w:before="40" w:after="40"/>
              <w:jc w:val="center"/>
              <w:rPr>
                <w:rFonts w:cs="Arial"/>
                <w:color w:val="000000"/>
              </w:rPr>
            </w:pPr>
            <w:r>
              <w:rPr>
                <w:rFonts w:cs="Arial"/>
                <w:color w:val="000000"/>
              </w:rPr>
              <w:t>X</w:t>
            </w:r>
          </w:p>
        </w:tc>
        <w:tc>
          <w:tcPr>
            <w:tcW w:w="1559" w:type="dxa"/>
            <w:tcBorders>
              <w:bottom w:val="single" w:sz="4" w:space="0" w:color="auto"/>
            </w:tcBorders>
          </w:tcPr>
          <w:p w:rsidR="00614306" w:rsidRPr="00F46785" w:rsidRDefault="00614306" w:rsidP="00614306">
            <w:pPr>
              <w:spacing w:before="40" w:after="40"/>
              <w:rPr>
                <w:rFonts w:cs="Arial"/>
                <w:color w:val="000000"/>
              </w:rPr>
            </w:pPr>
            <w:r w:rsidRPr="00F46785">
              <w:rPr>
                <w:rFonts w:cs="Arial"/>
              </w:rPr>
              <w:t>Substantial</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Procurement</w:t>
            </w:r>
          </w:p>
        </w:tc>
        <w:tc>
          <w:tcPr>
            <w:tcW w:w="3402" w:type="dxa"/>
            <w:tcBorders>
              <w:bottom w:val="single" w:sz="4" w:space="0" w:color="auto"/>
            </w:tcBorders>
          </w:tcPr>
          <w:p w:rsidR="00614306" w:rsidRDefault="00614306" w:rsidP="00614306">
            <w:pPr>
              <w:spacing w:before="40" w:after="40"/>
              <w:rPr>
                <w:rFonts w:cs="Arial"/>
                <w:color w:val="000000"/>
              </w:rPr>
            </w:pPr>
            <w:r>
              <w:rPr>
                <w:rFonts w:cs="Arial"/>
                <w:color w:val="000000"/>
              </w:rPr>
              <w:t>End-to-end procurement to payment process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Audit of the end-to-end processes operated from the procurement of new suppliers through to processing payments. (2019-66)</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bottom w:val="single" w:sz="4" w:space="0" w:color="auto"/>
            </w:tcBorders>
          </w:tcPr>
          <w:p w:rsidR="00614306" w:rsidRPr="009B63AF" w:rsidRDefault="00614306" w:rsidP="00614306">
            <w:pPr>
              <w:spacing w:before="40" w:after="40"/>
              <w:rPr>
                <w:rFonts w:cs="Arial"/>
                <w:color w:val="000000"/>
              </w:rPr>
            </w:pPr>
            <w:r>
              <w:rPr>
                <w:rFonts w:cs="Arial"/>
                <w:color w:val="000000"/>
              </w:rPr>
              <w:t>The council has robust p</w:t>
            </w:r>
            <w:r w:rsidRPr="009B63AF">
              <w:rPr>
                <w:rFonts w:cs="Arial"/>
                <w:color w:val="000000"/>
              </w:rPr>
              <w:t xml:space="preserve">rocurement </w:t>
            </w:r>
            <w:r>
              <w:rPr>
                <w:rFonts w:cs="Arial"/>
                <w:color w:val="000000"/>
              </w:rPr>
              <w:t>r</w:t>
            </w:r>
            <w:r w:rsidRPr="009B63AF">
              <w:rPr>
                <w:rFonts w:cs="Arial"/>
                <w:color w:val="000000"/>
              </w:rPr>
              <w:t>ules and normally operates in compliance with them.</w:t>
            </w:r>
          </w:p>
        </w:tc>
        <w:tc>
          <w:tcPr>
            <w:tcW w:w="1559" w:type="dxa"/>
            <w:tcBorders>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bottom w:val="single" w:sz="4" w:space="0" w:color="auto"/>
            </w:tcBorders>
          </w:tcPr>
          <w:p w:rsidR="00614306" w:rsidRPr="00BF10C7"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15"/>
        </w:trPr>
        <w:tc>
          <w:tcPr>
            <w:tcW w:w="5812" w:type="dxa"/>
            <w:gridSpan w:val="2"/>
            <w:tcBorders>
              <w:top w:val="nil"/>
              <w:bottom w:val="single" w:sz="4" w:space="0" w:color="auto"/>
              <w:right w:val="nil"/>
            </w:tcBorders>
            <w:shd w:val="clear" w:color="auto" w:fill="F2F2F2" w:themeFill="background1" w:themeFillShade="F2"/>
            <w:noWrap/>
            <w:hideMark/>
          </w:tcPr>
          <w:p w:rsidR="00614306" w:rsidRPr="00534482" w:rsidRDefault="00614306" w:rsidP="00614306">
            <w:pPr>
              <w:spacing w:before="60" w:after="60"/>
              <w:rPr>
                <w:rFonts w:cs="Arial"/>
                <w:b/>
                <w:bCs/>
                <w:color w:val="000000"/>
              </w:rPr>
            </w:pPr>
            <w:r>
              <w:rPr>
                <w:rFonts w:cs="Arial"/>
                <w:b/>
                <w:bCs/>
                <w:color w:val="000000"/>
              </w:rPr>
              <w:t xml:space="preserve">Control framework: </w:t>
            </w:r>
            <w:r w:rsidRPr="00534482">
              <w:rPr>
                <w:rFonts w:cs="Arial"/>
                <w:b/>
                <w:color w:val="000000"/>
              </w:rPr>
              <w:t>Business processes</w:t>
            </w:r>
          </w:p>
        </w:tc>
        <w:tc>
          <w:tcPr>
            <w:tcW w:w="4394" w:type="dxa"/>
            <w:tcBorders>
              <w:top w:val="nil"/>
              <w:left w:val="nil"/>
              <w:bottom w:val="single" w:sz="4" w:space="0" w:color="auto"/>
              <w:right w:val="nil"/>
            </w:tcBorders>
            <w:shd w:val="clear" w:color="auto" w:fill="F2F2F2" w:themeFill="background1" w:themeFillShade="F2"/>
            <w:noWrap/>
            <w:hideMark/>
          </w:tcPr>
          <w:p w:rsidR="00614306" w:rsidRPr="00534482" w:rsidRDefault="00614306" w:rsidP="00614306">
            <w:pPr>
              <w:spacing w:before="60" w:after="60"/>
              <w:rPr>
                <w:rFonts w:cs="Arial"/>
                <w:b/>
                <w:bCs/>
                <w:color w:val="000000"/>
              </w:rPr>
            </w:pPr>
          </w:p>
        </w:tc>
        <w:tc>
          <w:tcPr>
            <w:tcW w:w="851" w:type="dxa"/>
            <w:tcBorders>
              <w:top w:val="nil"/>
              <w:left w:val="nil"/>
              <w:bottom w:val="single" w:sz="4" w:space="0" w:color="auto"/>
              <w:right w:val="nil"/>
            </w:tcBorders>
            <w:shd w:val="clear" w:color="auto" w:fill="F2F2F2" w:themeFill="background1" w:themeFillShade="F2"/>
            <w:tcMar>
              <w:right w:w="108" w:type="dxa"/>
            </w:tcMar>
          </w:tcPr>
          <w:p w:rsidR="00614306" w:rsidRPr="00534482" w:rsidRDefault="00614306" w:rsidP="00614306">
            <w:pPr>
              <w:spacing w:before="60" w:after="60"/>
              <w:jc w:val="center"/>
              <w:rPr>
                <w:rFonts w:cs="Arial"/>
                <w:b/>
                <w:bCs/>
                <w:color w:val="000000"/>
              </w:rPr>
            </w:pPr>
          </w:p>
        </w:tc>
        <w:tc>
          <w:tcPr>
            <w:tcW w:w="5812" w:type="dxa"/>
            <w:tcBorders>
              <w:top w:val="nil"/>
              <w:left w:val="nil"/>
              <w:bottom w:val="single" w:sz="4" w:space="0" w:color="auto"/>
              <w:right w:val="nil"/>
            </w:tcBorders>
            <w:shd w:val="clear" w:color="auto" w:fill="F2F2F2" w:themeFill="background1" w:themeFillShade="F2"/>
          </w:tcPr>
          <w:p w:rsidR="00614306" w:rsidRPr="00534482" w:rsidRDefault="00614306" w:rsidP="00614306">
            <w:pPr>
              <w:spacing w:before="60" w:after="60"/>
              <w:rPr>
                <w:rFonts w:cs="Arial"/>
                <w:b/>
                <w:bCs/>
                <w:color w:val="000000"/>
              </w:rPr>
            </w:pPr>
          </w:p>
        </w:tc>
        <w:tc>
          <w:tcPr>
            <w:tcW w:w="1559" w:type="dxa"/>
            <w:tcBorders>
              <w:top w:val="nil"/>
              <w:left w:val="nil"/>
              <w:bottom w:val="single" w:sz="4" w:space="0" w:color="auto"/>
              <w:right w:val="nil"/>
            </w:tcBorders>
            <w:shd w:val="clear" w:color="auto" w:fill="F2F2F2" w:themeFill="background1" w:themeFillShade="F2"/>
          </w:tcPr>
          <w:p w:rsidR="00614306" w:rsidRPr="00534482" w:rsidRDefault="00614306" w:rsidP="00614306">
            <w:pPr>
              <w:spacing w:before="60" w:after="60"/>
              <w:rPr>
                <w:rFonts w:cs="Arial"/>
                <w:b/>
                <w:bCs/>
                <w:color w:val="000000"/>
              </w:rPr>
            </w:pPr>
          </w:p>
        </w:tc>
        <w:tc>
          <w:tcPr>
            <w:tcW w:w="1134" w:type="dxa"/>
            <w:tcBorders>
              <w:top w:val="nil"/>
              <w:left w:val="nil"/>
              <w:bottom w:val="single" w:sz="4" w:space="0" w:color="auto"/>
              <w:right w:val="nil"/>
            </w:tcBorders>
            <w:shd w:val="clear" w:color="auto" w:fill="F2F2F2" w:themeFill="background1" w:themeFillShade="F2"/>
          </w:tcPr>
          <w:p w:rsidR="00614306" w:rsidRPr="00534482" w:rsidRDefault="00614306" w:rsidP="00614306">
            <w:pPr>
              <w:spacing w:before="60" w:after="60"/>
              <w:jc w:val="center"/>
              <w:rPr>
                <w:rFonts w:cs="Arial"/>
                <w:b/>
                <w:bCs/>
                <w:color w:val="000000"/>
              </w:rPr>
            </w:pPr>
          </w:p>
        </w:tc>
        <w:tc>
          <w:tcPr>
            <w:tcW w:w="1559" w:type="dxa"/>
            <w:tcBorders>
              <w:top w:val="nil"/>
              <w:left w:val="nil"/>
              <w:bottom w:val="single" w:sz="4" w:space="0" w:color="auto"/>
              <w:right w:val="single" w:sz="4" w:space="0" w:color="auto"/>
            </w:tcBorders>
            <w:shd w:val="clear" w:color="auto" w:fill="F2F2F2" w:themeFill="background1" w:themeFillShade="F2"/>
          </w:tcPr>
          <w:p w:rsidR="00614306" w:rsidRPr="00534482" w:rsidRDefault="00614306" w:rsidP="00614306">
            <w:pPr>
              <w:spacing w:before="60" w:after="60"/>
              <w:rPr>
                <w:rFonts w:cs="Arial"/>
                <w:b/>
                <w:bCs/>
                <w:color w:val="000000"/>
              </w:rPr>
            </w:pP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Core Systems</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Oracle user access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Review of the improvement plan. (2019-67)</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bottom w:val="single" w:sz="4" w:space="0" w:color="auto"/>
            </w:tcBorders>
            <w:shd w:val="clear" w:color="auto" w:fill="auto"/>
          </w:tcPr>
          <w:p w:rsidR="00614306" w:rsidRPr="00BF10C7" w:rsidRDefault="00614306" w:rsidP="00614306">
            <w:pPr>
              <w:spacing w:before="40" w:after="40"/>
              <w:rPr>
                <w:rFonts w:cs="Arial"/>
                <w:color w:val="000000"/>
              </w:rPr>
            </w:pPr>
            <w:r>
              <w:rPr>
                <w:rFonts w:cs="Arial"/>
                <w:color w:val="000000"/>
              </w:rPr>
              <w:t>In July 2018</w:t>
            </w:r>
            <w:r w:rsidRPr="00580B88">
              <w:rPr>
                <w:rFonts w:cs="Arial"/>
                <w:color w:val="000000"/>
              </w:rPr>
              <w:t xml:space="preserve"> we provided moderate assurance that there is an adequate and effective control framework in place to protect Oracle against unauthorised access. </w:t>
            </w:r>
            <w:r>
              <w:rPr>
                <w:rFonts w:cs="Arial"/>
                <w:color w:val="000000"/>
              </w:rPr>
              <w:t xml:space="preserve">The </w:t>
            </w:r>
            <w:r w:rsidRPr="00580B88">
              <w:rPr>
                <w:rFonts w:cs="Arial"/>
                <w:color w:val="000000"/>
              </w:rPr>
              <w:t xml:space="preserve">Core System's team has </w:t>
            </w:r>
            <w:r>
              <w:rPr>
                <w:rFonts w:cs="Arial"/>
                <w:color w:val="000000"/>
              </w:rPr>
              <w:t xml:space="preserve">continued to make further improvements that </w:t>
            </w:r>
            <w:r w:rsidRPr="00580B88">
              <w:rPr>
                <w:rFonts w:cs="Arial"/>
                <w:color w:val="000000"/>
              </w:rPr>
              <w:t>will be subsumed into the over</w:t>
            </w:r>
            <w:r>
              <w:rPr>
                <w:rFonts w:cs="Arial"/>
                <w:color w:val="000000"/>
              </w:rPr>
              <w:t>all Oracle Replacement project so this audit has been deferred.</w:t>
            </w:r>
          </w:p>
        </w:tc>
        <w:tc>
          <w:tcPr>
            <w:tcW w:w="1559" w:type="dxa"/>
            <w:tcBorders>
              <w:bottom w:val="single" w:sz="4" w:space="0" w:color="auto"/>
            </w:tcBorders>
            <w:shd w:val="clear" w:color="auto" w:fill="auto"/>
          </w:tcPr>
          <w:p w:rsidR="00614306" w:rsidRPr="00C02FBD" w:rsidRDefault="00614306" w:rsidP="00614306">
            <w:pPr>
              <w:spacing w:before="40" w:after="40"/>
              <w:jc w:val="center"/>
              <w:rPr>
                <w:rFonts w:cs="Arial"/>
                <w:color w:val="000000"/>
              </w:rPr>
            </w:pPr>
            <w:r>
              <w:rPr>
                <w:rFonts w:cs="Arial"/>
                <w:color w:val="000000"/>
              </w:rPr>
              <w:t>N/A</w:t>
            </w:r>
          </w:p>
        </w:tc>
        <w:tc>
          <w:tcPr>
            <w:tcW w:w="1134" w:type="dxa"/>
            <w:tcBorders>
              <w:bottom w:val="single" w:sz="4" w:space="0" w:color="auto"/>
            </w:tcBorders>
            <w:shd w:val="clear" w:color="auto" w:fill="auto"/>
          </w:tcPr>
          <w:p w:rsidR="00614306" w:rsidRPr="00C02FBD"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bottom w:val="single" w:sz="4" w:space="0" w:color="auto"/>
            </w:tcBorders>
            <w:shd w:val="clear" w:color="auto" w:fill="auto"/>
          </w:tcPr>
          <w:p w:rsidR="00614306" w:rsidRPr="00C02FBD" w:rsidRDefault="00614306" w:rsidP="00614306">
            <w:pPr>
              <w:spacing w:before="40" w:after="40"/>
              <w:rPr>
                <w:rFonts w:cs="Arial"/>
                <w:color w:val="000000"/>
              </w:rPr>
            </w:pPr>
            <w:r>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Payroll Service</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Payroll processing by BTLS of information provided by LCC</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Compliance testing of the key controls. (2019-68)</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bottom w:val="single" w:sz="4" w:space="0" w:color="auto"/>
            </w:tcBorders>
            <w:shd w:val="clear" w:color="auto" w:fill="auto"/>
          </w:tcPr>
          <w:p w:rsidR="00614306" w:rsidRPr="0001201C" w:rsidRDefault="00614306" w:rsidP="00614306">
            <w:pPr>
              <w:spacing w:before="40" w:after="40"/>
              <w:rPr>
                <w:rFonts w:cs="Arial"/>
                <w:color w:val="000000"/>
              </w:rPr>
            </w:pPr>
            <w:r w:rsidRPr="0001201C">
              <w:rPr>
                <w:rFonts w:cs="Arial"/>
                <w:color w:val="000000"/>
              </w:rPr>
              <w:t>Payments through the council's payroll system are adequately and effectively controlled.</w:t>
            </w:r>
          </w:p>
        </w:tc>
        <w:tc>
          <w:tcPr>
            <w:tcW w:w="1559" w:type="dxa"/>
            <w:tcBorders>
              <w:bottom w:val="single" w:sz="4" w:space="0" w:color="auto"/>
            </w:tcBorders>
            <w:shd w:val="clear" w:color="auto" w:fill="auto"/>
          </w:tcPr>
          <w:p w:rsidR="00614306" w:rsidRPr="00C02FBD"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bottom w:val="single" w:sz="4" w:space="0" w:color="auto"/>
            </w:tcBorders>
            <w:shd w:val="clear" w:color="auto" w:fill="auto"/>
          </w:tcPr>
          <w:p w:rsidR="00614306" w:rsidRPr="009C64B7"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lastRenderedPageBreak/>
              <w:t>Payroll Service</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Payroll overpayments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Compliance testing of the key controls to prevent, detect and correct overpayments. (2019-69)</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bottom w:val="single" w:sz="4" w:space="0" w:color="auto"/>
            </w:tcBorders>
            <w:shd w:val="clear" w:color="auto" w:fill="auto"/>
          </w:tcPr>
          <w:p w:rsidR="00614306" w:rsidRPr="0001201C" w:rsidRDefault="00614306" w:rsidP="00614306">
            <w:pPr>
              <w:spacing w:before="40" w:after="40"/>
              <w:rPr>
                <w:rFonts w:cs="Arial"/>
                <w:color w:val="000000"/>
              </w:rPr>
            </w:pPr>
            <w:r w:rsidRPr="0001201C">
              <w:rPr>
                <w:rFonts w:cs="Arial"/>
                <w:color w:val="000000"/>
              </w:rPr>
              <w:t>Although payroll overpayments continue to be made, and have increased over the past year they are a small proportion of the total and generally arise as a result of mistakes by the council's managers.</w:t>
            </w:r>
          </w:p>
        </w:tc>
        <w:tc>
          <w:tcPr>
            <w:tcW w:w="1559" w:type="dxa"/>
            <w:tcBorders>
              <w:bottom w:val="single" w:sz="4" w:space="0" w:color="auto"/>
            </w:tcBorders>
            <w:shd w:val="clear" w:color="auto" w:fill="auto"/>
          </w:tcPr>
          <w:p w:rsidR="00614306" w:rsidRPr="00A14D0F"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bottom w:val="single" w:sz="4" w:space="0" w:color="auto"/>
            </w:tcBorders>
            <w:shd w:val="clear" w:color="auto" w:fill="auto"/>
          </w:tcPr>
          <w:p w:rsidR="00614306" w:rsidRPr="009C64B7"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Exchequer Services</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Accounts receivable: central controls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Compliance testing of the key controls, including review of the testing approach. (2019-70)</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bottom w:val="single" w:sz="4" w:space="0" w:color="auto"/>
            </w:tcBorders>
            <w:shd w:val="clear" w:color="auto" w:fill="auto"/>
          </w:tcPr>
          <w:p w:rsidR="00614306" w:rsidRPr="004B3DE9"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X</w:t>
            </w:r>
          </w:p>
        </w:tc>
        <w:tc>
          <w:tcPr>
            <w:tcW w:w="1134" w:type="dxa"/>
            <w:tcBorders>
              <w:bottom w:val="single" w:sz="4" w:space="0" w:color="auto"/>
            </w:tcBorders>
            <w:shd w:val="clear" w:color="auto" w:fill="auto"/>
          </w:tcPr>
          <w:p w:rsidR="00614306" w:rsidRPr="004B3DE9" w:rsidRDefault="00614306" w:rsidP="00614306">
            <w:pPr>
              <w:spacing w:before="40" w:after="40"/>
              <w:jc w:val="center"/>
              <w:rPr>
                <w:rFonts w:cs="Arial"/>
                <w:color w:val="000000"/>
              </w:rPr>
            </w:pPr>
            <w:r>
              <w:rPr>
                <w:rFonts w:cs="Arial"/>
                <w:color w:val="000000"/>
              </w:rPr>
              <w:t>X</w:t>
            </w:r>
          </w:p>
        </w:tc>
        <w:tc>
          <w:tcPr>
            <w:tcW w:w="1559" w:type="dxa"/>
            <w:tcBorders>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N/A</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Exchequer Services</w:t>
            </w:r>
          </w:p>
        </w:tc>
        <w:tc>
          <w:tcPr>
            <w:tcW w:w="3402" w:type="dxa"/>
            <w:tcBorders>
              <w:bottom w:val="single" w:sz="4" w:space="0" w:color="auto"/>
            </w:tcBorders>
          </w:tcPr>
          <w:p w:rsidR="00614306" w:rsidRDefault="00614306" w:rsidP="00614306">
            <w:pPr>
              <w:spacing w:before="40" w:after="40"/>
              <w:rPr>
                <w:rFonts w:cs="Arial"/>
                <w:color w:val="000000"/>
              </w:rPr>
            </w:pPr>
            <w:r>
              <w:rPr>
                <w:rFonts w:cs="Arial"/>
                <w:color w:val="000000"/>
              </w:rPr>
              <w:t>Accounts payable: central controls</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Compliance testing of the key controls, including review of the testing approach. (2019-71)</w:t>
            </w:r>
          </w:p>
        </w:tc>
        <w:tc>
          <w:tcPr>
            <w:tcW w:w="851" w:type="dxa"/>
            <w:tcBorders>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bottom w:val="single" w:sz="4" w:space="0" w:color="auto"/>
            </w:tcBorders>
          </w:tcPr>
          <w:p w:rsidR="00614306" w:rsidRPr="00735063" w:rsidRDefault="00614306" w:rsidP="00614306">
            <w:pPr>
              <w:spacing w:before="40" w:after="40"/>
              <w:rPr>
                <w:rFonts w:cs="Arial"/>
                <w:color w:val="000000"/>
              </w:rPr>
            </w:pPr>
            <w:r w:rsidRPr="00735063">
              <w:rPr>
                <w:rFonts w:cs="Arial"/>
                <w:color w:val="000000"/>
              </w:rPr>
              <w:t>Adequate and effective controls are operated over these payments.</w:t>
            </w:r>
          </w:p>
        </w:tc>
        <w:tc>
          <w:tcPr>
            <w:tcW w:w="1559" w:type="dxa"/>
            <w:tcBorders>
              <w:bottom w:val="single" w:sz="4" w:space="0" w:color="auto"/>
            </w:tcBorders>
          </w:tcPr>
          <w:p w:rsidR="00614306" w:rsidRPr="00C02FBD"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bottom w:val="single" w:sz="4" w:space="0" w:color="auto"/>
            </w:tcBorders>
          </w:tcPr>
          <w:p w:rsidR="00614306" w:rsidRPr="00C02FBD"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Exchequer Services</w:t>
            </w:r>
          </w:p>
        </w:tc>
        <w:tc>
          <w:tcPr>
            <w:tcW w:w="3402" w:type="dxa"/>
            <w:tcBorders>
              <w:bottom w:val="single" w:sz="4" w:space="0" w:color="auto"/>
            </w:tcBorders>
            <w:shd w:val="clear" w:color="auto" w:fill="auto"/>
          </w:tcPr>
          <w:p w:rsidR="00614306" w:rsidRDefault="00614306" w:rsidP="00614306">
            <w:pPr>
              <w:spacing w:before="40" w:after="40"/>
              <w:rPr>
                <w:rFonts w:cs="Arial"/>
                <w:color w:val="000000"/>
              </w:rPr>
            </w:pPr>
            <w:r>
              <w:rPr>
                <w:rFonts w:cs="Arial"/>
                <w:color w:val="000000"/>
              </w:rPr>
              <w:t>Cash and banking</w:t>
            </w:r>
          </w:p>
        </w:tc>
        <w:tc>
          <w:tcPr>
            <w:tcW w:w="4394" w:type="dxa"/>
            <w:tcBorders>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Compliance testing of the key controls. (2019-72)</w:t>
            </w:r>
          </w:p>
        </w:tc>
        <w:tc>
          <w:tcPr>
            <w:tcW w:w="851" w:type="dxa"/>
            <w:tcBorders>
              <w:bottom w:val="single" w:sz="4" w:space="0" w:color="auto"/>
            </w:tcBorders>
            <w:shd w:val="clear" w:color="auto" w:fill="auto"/>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bottom w:val="single" w:sz="4" w:space="0" w:color="auto"/>
            </w:tcBorders>
            <w:shd w:val="clear" w:color="auto" w:fill="auto"/>
          </w:tcPr>
          <w:p w:rsidR="00614306" w:rsidRPr="00080C3D" w:rsidRDefault="00614306" w:rsidP="00614306">
            <w:pPr>
              <w:spacing w:before="40" w:after="40"/>
              <w:rPr>
                <w:rFonts w:cs="Arial"/>
                <w:color w:val="000000"/>
              </w:rPr>
            </w:pPr>
            <w:r>
              <w:rPr>
                <w:rFonts w:cs="Arial"/>
                <w:color w:val="000000"/>
              </w:rPr>
              <w:t>Insufficient audit work has been undertaken and no further work was possible around the year end.</w:t>
            </w:r>
          </w:p>
        </w:tc>
        <w:tc>
          <w:tcPr>
            <w:tcW w:w="1559" w:type="dxa"/>
            <w:tcBorders>
              <w:bottom w:val="single" w:sz="4" w:space="0" w:color="auto"/>
            </w:tcBorders>
            <w:shd w:val="clear" w:color="auto" w:fill="auto"/>
          </w:tcPr>
          <w:p w:rsidR="00614306" w:rsidRPr="00A14D0F" w:rsidRDefault="00614306" w:rsidP="00614306">
            <w:pPr>
              <w:spacing w:before="40" w:after="40"/>
              <w:jc w:val="center"/>
              <w:rPr>
                <w:rFonts w:cs="Arial"/>
                <w:color w:val="000000"/>
              </w:rPr>
            </w:pPr>
            <w:r>
              <w:rPr>
                <w:rFonts w:cs="Arial"/>
                <w:color w:val="000000"/>
              </w:rPr>
              <w:t>X</w:t>
            </w:r>
          </w:p>
        </w:tc>
        <w:tc>
          <w:tcPr>
            <w:tcW w:w="1134" w:type="dxa"/>
            <w:tcBorders>
              <w:bottom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Exchequer Services</w:t>
            </w:r>
          </w:p>
        </w:tc>
        <w:tc>
          <w:tcPr>
            <w:tcW w:w="3402" w:type="dxa"/>
            <w:tcBorders>
              <w:top w:val="nil"/>
            </w:tcBorders>
          </w:tcPr>
          <w:p w:rsidR="00614306" w:rsidRDefault="00614306" w:rsidP="00614306">
            <w:pPr>
              <w:spacing w:before="40" w:after="40"/>
              <w:rPr>
                <w:rFonts w:cs="Arial"/>
                <w:color w:val="000000"/>
              </w:rPr>
            </w:pPr>
            <w:r>
              <w:rPr>
                <w:rFonts w:cs="Arial"/>
                <w:color w:val="000000"/>
              </w:rPr>
              <w:t>General ledger</w:t>
            </w:r>
          </w:p>
        </w:tc>
        <w:tc>
          <w:tcPr>
            <w:tcW w:w="4394" w:type="dxa"/>
            <w:tcBorders>
              <w:top w:val="nil"/>
            </w:tcBorders>
            <w:shd w:val="clear" w:color="auto" w:fill="auto"/>
            <w:noWrap/>
          </w:tcPr>
          <w:p w:rsidR="00614306" w:rsidRDefault="00614306" w:rsidP="00614306">
            <w:pPr>
              <w:spacing w:before="40" w:after="40"/>
              <w:rPr>
                <w:rFonts w:cs="Arial"/>
                <w:color w:val="000000"/>
              </w:rPr>
            </w:pPr>
            <w:r>
              <w:rPr>
                <w:rFonts w:cs="Arial"/>
                <w:color w:val="000000"/>
              </w:rPr>
              <w:t>Compliance testing of the key controls. (2019-73)</w:t>
            </w:r>
          </w:p>
        </w:tc>
        <w:tc>
          <w:tcPr>
            <w:tcW w:w="851" w:type="dxa"/>
            <w:tcBorders>
              <w:top w:val="nil"/>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top w:val="nil"/>
              <w:bottom w:val="single" w:sz="4" w:space="0" w:color="auto"/>
            </w:tcBorders>
          </w:tcPr>
          <w:p w:rsidR="00614306" w:rsidRPr="00015908" w:rsidRDefault="00614306" w:rsidP="00614306">
            <w:pPr>
              <w:spacing w:before="40" w:after="40"/>
              <w:rPr>
                <w:rFonts w:cs="Arial"/>
                <w:color w:val="000000"/>
              </w:rPr>
            </w:pPr>
            <w:r w:rsidRPr="00015908">
              <w:rPr>
                <w:rFonts w:cs="Arial"/>
                <w:color w:val="000000"/>
              </w:rPr>
              <w:t>The controls over the transactions posted to the ledger are adequate and effective, and in particular the control accounts are accurately maintained and reconciled monthly.</w:t>
            </w:r>
          </w:p>
        </w:tc>
        <w:tc>
          <w:tcPr>
            <w:tcW w:w="1559" w:type="dxa"/>
            <w:tcBorders>
              <w:top w:val="nil"/>
              <w:bottom w:val="single" w:sz="4" w:space="0" w:color="auto"/>
            </w:tcBorders>
          </w:tcPr>
          <w:p w:rsidR="00614306" w:rsidRPr="00C02FBD"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Pr="00C02FBD" w:rsidRDefault="00614306" w:rsidP="00614306">
            <w:pPr>
              <w:spacing w:before="40" w:after="40"/>
              <w:jc w:val="center"/>
              <w:rPr>
                <w:rFonts w:cs="Arial"/>
                <w:color w:val="000000"/>
              </w:rPr>
            </w:pPr>
            <w:r>
              <w:rPr>
                <w:rFonts w:cs="Arial"/>
                <w:color w:val="000000"/>
              </w:rPr>
              <w:t>X</w:t>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Pension Fund</w:t>
            </w:r>
          </w:p>
        </w:tc>
        <w:tc>
          <w:tcPr>
            <w:tcW w:w="3402" w:type="dxa"/>
            <w:tcBorders>
              <w:top w:val="single" w:sz="4" w:space="0" w:color="auto"/>
              <w:bottom w:val="single" w:sz="4" w:space="0" w:color="auto"/>
            </w:tcBorders>
          </w:tcPr>
          <w:p w:rsidR="00614306" w:rsidRDefault="00614306" w:rsidP="00614306">
            <w:pPr>
              <w:spacing w:before="40" w:after="40"/>
              <w:rPr>
                <w:rFonts w:cs="Arial"/>
                <w:color w:val="000000"/>
              </w:rPr>
            </w:pPr>
            <w:r>
              <w:rPr>
                <w:rFonts w:cs="Arial"/>
                <w:color w:val="000000"/>
              </w:rPr>
              <w:t>Accounting for the Pension Fund through the council's general ledger</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Compliance testing of key controls. (2019-78)</w:t>
            </w:r>
          </w:p>
        </w:tc>
        <w:tc>
          <w:tcPr>
            <w:tcW w:w="851" w:type="dxa"/>
            <w:tcBorders>
              <w:top w:val="single" w:sz="4" w:space="0" w:color="auto"/>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top w:val="single" w:sz="4" w:space="0" w:color="auto"/>
              <w:bottom w:val="single" w:sz="4" w:space="0" w:color="auto"/>
            </w:tcBorders>
          </w:tcPr>
          <w:p w:rsidR="00614306" w:rsidRPr="00F65F58" w:rsidRDefault="00614306" w:rsidP="00614306">
            <w:pPr>
              <w:spacing w:before="40" w:after="40"/>
              <w:rPr>
                <w:rFonts w:cs="Arial"/>
                <w:color w:val="000000"/>
              </w:rPr>
            </w:pPr>
            <w:r w:rsidRPr="00F65F58">
              <w:rPr>
                <w:rFonts w:cs="Arial"/>
                <w:color w:val="000000"/>
              </w:rPr>
              <w:t>The controls over the transactions posted to the ledger are adequate and effective, and in particular the control accounts are accurately maintained and reconciled monthly.</w:t>
            </w:r>
          </w:p>
        </w:tc>
        <w:tc>
          <w:tcPr>
            <w:tcW w:w="1559" w:type="dxa"/>
            <w:tcBorders>
              <w:top w:val="single" w:sz="4" w:space="0" w:color="auto"/>
              <w:bottom w:val="single" w:sz="4" w:space="0" w:color="auto"/>
            </w:tcBorders>
          </w:tcPr>
          <w:p w:rsidR="00614306" w:rsidRPr="00C02FBD"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Pr="00C02FBD" w:rsidRDefault="00614306" w:rsidP="00614306">
            <w:pPr>
              <w:spacing w:before="40" w:after="40"/>
              <w:jc w:val="center"/>
              <w:rPr>
                <w:rFonts w:cs="Arial"/>
                <w:color w:val="000000"/>
              </w:rPr>
            </w:pPr>
            <w:r>
              <w:rPr>
                <w:rFonts w:cs="Arial"/>
                <w:color w:val="000000"/>
              </w:rPr>
              <w:t>X</w:t>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Exchequer Services</w:t>
            </w:r>
          </w:p>
        </w:tc>
        <w:tc>
          <w:tcPr>
            <w:tcW w:w="3402" w:type="dxa"/>
            <w:tcBorders>
              <w:top w:val="single" w:sz="4" w:space="0" w:color="auto"/>
              <w:bottom w:val="single" w:sz="4" w:space="0" w:color="auto"/>
            </w:tcBorders>
          </w:tcPr>
          <w:p w:rsidR="00614306" w:rsidRDefault="00614306" w:rsidP="00614306">
            <w:pPr>
              <w:spacing w:before="40" w:after="40"/>
              <w:rPr>
                <w:rFonts w:cs="Arial"/>
                <w:color w:val="000000"/>
              </w:rPr>
            </w:pPr>
            <w:r>
              <w:rPr>
                <w:rFonts w:cs="Arial"/>
                <w:color w:val="000000"/>
              </w:rPr>
              <w:t>VAT</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Compliance testing of the key controls. (2019-74)</w:t>
            </w:r>
          </w:p>
        </w:tc>
        <w:tc>
          <w:tcPr>
            <w:tcW w:w="851" w:type="dxa"/>
            <w:tcBorders>
              <w:top w:val="single" w:sz="4" w:space="0" w:color="auto"/>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top w:val="single" w:sz="4" w:space="0" w:color="auto"/>
              <w:bottom w:val="single" w:sz="4" w:space="0" w:color="auto"/>
            </w:tcBorders>
          </w:tcPr>
          <w:p w:rsidR="00614306" w:rsidRPr="00AD025A" w:rsidRDefault="00614306" w:rsidP="00614306">
            <w:pPr>
              <w:spacing w:before="40" w:after="40"/>
              <w:rPr>
                <w:rFonts w:cs="Arial"/>
                <w:color w:val="000000"/>
              </w:rPr>
            </w:pPr>
            <w:r w:rsidRPr="00AD025A">
              <w:rPr>
                <w:rFonts w:cs="Arial"/>
                <w:color w:val="000000"/>
              </w:rPr>
              <w:t>Effective procedures are in place.</w:t>
            </w:r>
          </w:p>
        </w:tc>
        <w:tc>
          <w:tcPr>
            <w:tcW w:w="1559" w:type="dxa"/>
            <w:tcBorders>
              <w:top w:val="single" w:sz="4" w:space="0" w:color="auto"/>
              <w:bottom w:val="single" w:sz="4" w:space="0" w:color="auto"/>
            </w:tcBorders>
          </w:tcPr>
          <w:p w:rsidR="00614306" w:rsidRPr="00C02FBD"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A sample of all</w:t>
            </w:r>
          </w:p>
        </w:tc>
        <w:tc>
          <w:tcPr>
            <w:tcW w:w="3402" w:type="dxa"/>
            <w:tcBorders>
              <w:top w:val="single" w:sz="4" w:space="0" w:color="auto"/>
              <w:bottom w:val="single" w:sz="4" w:space="0" w:color="auto"/>
            </w:tcBorders>
          </w:tcPr>
          <w:p w:rsidR="00614306" w:rsidRDefault="00614306" w:rsidP="00614306">
            <w:pPr>
              <w:spacing w:before="40" w:after="40"/>
              <w:rPr>
                <w:rFonts w:cs="Arial"/>
                <w:color w:val="000000"/>
              </w:rPr>
            </w:pPr>
            <w:r>
              <w:rPr>
                <w:rFonts w:cs="Arial"/>
                <w:color w:val="000000"/>
              </w:rPr>
              <w:t>Mileage claims by staff across the council</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Testing of compliance with corporate policy including insurance cover, driving licence and V5 checks. (2019-75)</w:t>
            </w:r>
          </w:p>
        </w:tc>
        <w:tc>
          <w:tcPr>
            <w:tcW w:w="851" w:type="dxa"/>
            <w:tcBorders>
              <w:top w:val="single" w:sz="4" w:space="0" w:color="auto"/>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tcPr>
          <w:p w:rsidR="00614306" w:rsidRPr="00CC60FD" w:rsidRDefault="00614306" w:rsidP="00614306">
            <w:pPr>
              <w:spacing w:before="40" w:after="40"/>
              <w:rPr>
                <w:rFonts w:cs="Arial"/>
                <w:color w:val="000000"/>
              </w:rPr>
            </w:pPr>
            <w:r w:rsidRPr="00CC60FD">
              <w:rPr>
                <w:rFonts w:cs="Arial"/>
                <w:color w:val="000000"/>
              </w:rPr>
              <w:t>Relevant policies are inadequate and not well communicated, and system controls and managers' checks are insufficient to prevent inappropriate claims being made.</w:t>
            </w:r>
          </w:p>
        </w:tc>
        <w:tc>
          <w:tcPr>
            <w:tcW w:w="1559" w:type="dxa"/>
            <w:tcBorders>
              <w:top w:val="single" w:sz="4" w:space="0" w:color="auto"/>
              <w:bottom w:val="single" w:sz="4" w:space="0" w:color="auto"/>
            </w:tcBorders>
          </w:tcPr>
          <w:p w:rsidR="00614306" w:rsidRPr="00C02FBD"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Pr="00C02FBD" w:rsidRDefault="00614306" w:rsidP="00614306">
            <w:pPr>
              <w:spacing w:before="40" w:after="40"/>
              <w:jc w:val="center"/>
              <w:rPr>
                <w:rFonts w:cs="Arial"/>
                <w:color w:val="000000"/>
              </w:rPr>
            </w:pPr>
            <w:r>
              <w:rPr>
                <w:rFonts w:cs="Arial"/>
                <w:color w:val="000000"/>
              </w:rPr>
              <w:t>X</w:t>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rPr>
              <w:t>Limited</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Investment</w:t>
            </w:r>
          </w:p>
        </w:tc>
        <w:tc>
          <w:tcPr>
            <w:tcW w:w="3402" w:type="dxa"/>
            <w:tcBorders>
              <w:top w:val="single" w:sz="4" w:space="0" w:color="auto"/>
              <w:bottom w:val="single" w:sz="4" w:space="0" w:color="auto"/>
            </w:tcBorders>
          </w:tcPr>
          <w:p w:rsidR="00614306" w:rsidRDefault="00614306" w:rsidP="00614306">
            <w:pPr>
              <w:spacing w:before="40" w:after="40"/>
              <w:rPr>
                <w:rFonts w:cs="Arial"/>
                <w:color w:val="000000"/>
              </w:rPr>
            </w:pPr>
            <w:r>
              <w:rPr>
                <w:rFonts w:cs="Arial"/>
                <w:color w:val="000000"/>
              </w:rPr>
              <w:t>Treasury management</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Compliance testing of the key controls. (2019-76)</w:t>
            </w:r>
          </w:p>
        </w:tc>
        <w:tc>
          <w:tcPr>
            <w:tcW w:w="851" w:type="dxa"/>
            <w:tcBorders>
              <w:top w:val="single" w:sz="4" w:space="0" w:color="auto"/>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top w:val="single" w:sz="4" w:space="0" w:color="auto"/>
              <w:bottom w:val="single" w:sz="4" w:space="0" w:color="auto"/>
            </w:tcBorders>
          </w:tcPr>
          <w:p w:rsidR="00614306" w:rsidRPr="009252F3" w:rsidRDefault="00614306" w:rsidP="00614306">
            <w:pPr>
              <w:spacing w:before="40" w:after="40"/>
              <w:rPr>
                <w:rFonts w:cs="Arial"/>
                <w:color w:val="000000"/>
              </w:rPr>
            </w:pPr>
            <w:r w:rsidRPr="009252F3">
              <w:rPr>
                <w:rFonts w:cs="Arial"/>
                <w:color w:val="000000"/>
              </w:rPr>
              <w:t>The council's treasury management framework complies with CIPFA's code of practice 'Treasury Management in the Public Services' and the council complies with the indicators it has set. Its operational borrowing limit has been increased during the year to take advantage of favourable interest rates.</w:t>
            </w:r>
          </w:p>
        </w:tc>
        <w:tc>
          <w:tcPr>
            <w:tcW w:w="1559" w:type="dxa"/>
            <w:tcBorders>
              <w:top w:val="single" w:sz="4" w:space="0" w:color="auto"/>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Pr="00C02FBD" w:rsidRDefault="00614306" w:rsidP="00614306">
            <w:pPr>
              <w:spacing w:before="40" w:after="40"/>
              <w:jc w:val="center"/>
              <w:rPr>
                <w:rFonts w:cs="Arial"/>
                <w:color w:val="000000"/>
              </w:rPr>
            </w:pPr>
            <w:r>
              <w:rPr>
                <w:rFonts w:cs="Arial"/>
                <w:color w:val="000000"/>
              </w:rPr>
              <w:t>X</w:t>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Financial Management (Development &amp; Schools)</w:t>
            </w:r>
          </w:p>
        </w:tc>
        <w:tc>
          <w:tcPr>
            <w:tcW w:w="3402" w:type="dxa"/>
            <w:tcBorders>
              <w:top w:val="single" w:sz="4" w:space="0" w:color="auto"/>
              <w:bottom w:val="single" w:sz="4" w:space="0" w:color="auto"/>
            </w:tcBorders>
          </w:tcPr>
          <w:p w:rsidR="00614306" w:rsidRDefault="00614306" w:rsidP="00614306">
            <w:pPr>
              <w:spacing w:before="40" w:after="40"/>
              <w:rPr>
                <w:rFonts w:cs="Arial"/>
                <w:color w:val="000000"/>
              </w:rPr>
            </w:pPr>
            <w:r>
              <w:rPr>
                <w:rFonts w:cs="Arial"/>
                <w:color w:val="000000"/>
              </w:rPr>
              <w:t>Schools' Financial Value Standard (SFVS) self-assessments</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Review of a sample of SFVS self-assessments for 2018/19 to ensure their assertions are supported by adequate evidence. (2019-77)</w:t>
            </w:r>
          </w:p>
        </w:tc>
        <w:tc>
          <w:tcPr>
            <w:tcW w:w="851" w:type="dxa"/>
            <w:tcBorders>
              <w:top w:val="single" w:sz="4" w:space="0" w:color="auto"/>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2</w:t>
            </w:r>
          </w:p>
        </w:tc>
        <w:tc>
          <w:tcPr>
            <w:tcW w:w="5812" w:type="dxa"/>
            <w:tcBorders>
              <w:top w:val="single" w:sz="4" w:space="0" w:color="auto"/>
              <w:bottom w:val="single" w:sz="4" w:space="0" w:color="auto"/>
            </w:tcBorders>
          </w:tcPr>
          <w:p w:rsidR="00614306" w:rsidRPr="002E4169" w:rsidRDefault="00614306" w:rsidP="00614306">
            <w:pPr>
              <w:spacing w:before="40" w:after="40"/>
              <w:rPr>
                <w:rFonts w:cs="Arial"/>
                <w:color w:val="000000"/>
              </w:rPr>
            </w:pPr>
            <w:r w:rsidRPr="002E4169">
              <w:rPr>
                <w:rFonts w:cs="Arial"/>
                <w:color w:val="000000"/>
              </w:rPr>
              <w:t xml:space="preserve">All schools submitted self-assessments for 2018/19 reflecting their governance and financial arrangements, and the ones we tested were supported by </w:t>
            </w:r>
            <w:r>
              <w:rPr>
                <w:rFonts w:cs="Arial"/>
                <w:color w:val="000000"/>
              </w:rPr>
              <w:t xml:space="preserve">appropriate </w:t>
            </w:r>
            <w:r w:rsidRPr="002E4169">
              <w:rPr>
                <w:rFonts w:cs="Arial"/>
                <w:color w:val="000000"/>
              </w:rPr>
              <w:t>evidence.</w:t>
            </w:r>
          </w:p>
        </w:tc>
        <w:tc>
          <w:tcPr>
            <w:tcW w:w="1559" w:type="dxa"/>
            <w:tcBorders>
              <w:top w:val="single" w:sz="4" w:space="0" w:color="auto"/>
              <w:bottom w:val="single" w:sz="4" w:space="0" w:color="auto"/>
            </w:tcBorders>
          </w:tcPr>
          <w:p w:rsidR="00614306" w:rsidRPr="00C02FBD"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Substantial</w:t>
            </w:r>
          </w:p>
        </w:tc>
      </w:tr>
      <w:tr w:rsidR="009C49B5" w:rsidTr="00614306">
        <w:trPr>
          <w:trHeight w:val="315"/>
        </w:trPr>
        <w:tc>
          <w:tcPr>
            <w:tcW w:w="5812" w:type="dxa"/>
            <w:gridSpan w:val="2"/>
            <w:tcBorders>
              <w:top w:val="nil"/>
              <w:bottom w:val="single" w:sz="4" w:space="0" w:color="auto"/>
              <w:right w:val="nil"/>
            </w:tcBorders>
            <w:shd w:val="clear" w:color="auto" w:fill="auto"/>
            <w:noWrap/>
            <w:hideMark/>
          </w:tcPr>
          <w:p w:rsidR="00614306" w:rsidRPr="00534482" w:rsidRDefault="00614306" w:rsidP="00614306">
            <w:pPr>
              <w:spacing w:before="60" w:after="60"/>
              <w:rPr>
                <w:rFonts w:cs="Arial"/>
                <w:b/>
                <w:bCs/>
                <w:color w:val="000000"/>
              </w:rPr>
            </w:pPr>
            <w:r>
              <w:rPr>
                <w:rFonts w:cs="Arial"/>
                <w:b/>
                <w:color w:val="000000"/>
              </w:rPr>
              <w:t>ICT</w:t>
            </w:r>
            <w:r w:rsidRPr="00534482">
              <w:rPr>
                <w:rFonts w:cs="Arial"/>
                <w:b/>
                <w:color w:val="000000"/>
              </w:rPr>
              <w:t xml:space="preserve"> processes</w:t>
            </w:r>
          </w:p>
        </w:tc>
        <w:tc>
          <w:tcPr>
            <w:tcW w:w="4394" w:type="dxa"/>
            <w:tcBorders>
              <w:top w:val="nil"/>
              <w:left w:val="nil"/>
              <w:bottom w:val="single" w:sz="4" w:space="0" w:color="auto"/>
              <w:right w:val="nil"/>
            </w:tcBorders>
            <w:shd w:val="clear" w:color="auto" w:fill="auto"/>
            <w:noWrap/>
            <w:hideMark/>
          </w:tcPr>
          <w:p w:rsidR="00614306" w:rsidRPr="00534482" w:rsidRDefault="00614306" w:rsidP="00614306">
            <w:pPr>
              <w:spacing w:before="60" w:after="60"/>
              <w:rPr>
                <w:rFonts w:cs="Arial"/>
                <w:b/>
                <w:bCs/>
                <w:color w:val="000000"/>
              </w:rPr>
            </w:pPr>
          </w:p>
        </w:tc>
        <w:tc>
          <w:tcPr>
            <w:tcW w:w="851" w:type="dxa"/>
            <w:tcBorders>
              <w:top w:val="nil"/>
              <w:left w:val="nil"/>
              <w:bottom w:val="single" w:sz="4" w:space="0" w:color="auto"/>
              <w:right w:val="nil"/>
            </w:tcBorders>
            <w:shd w:val="clear" w:color="auto" w:fill="auto"/>
            <w:tcMar>
              <w:right w:w="108" w:type="dxa"/>
            </w:tcMar>
          </w:tcPr>
          <w:p w:rsidR="00614306" w:rsidRPr="00534482" w:rsidRDefault="00614306" w:rsidP="00614306">
            <w:pPr>
              <w:spacing w:before="60" w:after="60"/>
              <w:jc w:val="center"/>
              <w:rPr>
                <w:rFonts w:cs="Arial"/>
                <w:b/>
                <w:bCs/>
                <w:color w:val="000000"/>
              </w:rPr>
            </w:pPr>
          </w:p>
        </w:tc>
        <w:tc>
          <w:tcPr>
            <w:tcW w:w="5812" w:type="dxa"/>
            <w:tcBorders>
              <w:top w:val="nil"/>
              <w:left w:val="nil"/>
              <w:bottom w:val="single" w:sz="4" w:space="0" w:color="auto"/>
              <w:right w:val="nil"/>
            </w:tcBorders>
            <w:shd w:val="clear" w:color="auto" w:fill="auto"/>
          </w:tcPr>
          <w:p w:rsidR="00614306" w:rsidRPr="00534482" w:rsidRDefault="00614306" w:rsidP="00614306">
            <w:pPr>
              <w:spacing w:before="60" w:after="60"/>
              <w:rPr>
                <w:rFonts w:cs="Arial"/>
                <w:b/>
                <w:bCs/>
                <w:color w:val="000000"/>
              </w:rPr>
            </w:pPr>
          </w:p>
        </w:tc>
        <w:tc>
          <w:tcPr>
            <w:tcW w:w="1559" w:type="dxa"/>
            <w:tcBorders>
              <w:top w:val="nil"/>
              <w:left w:val="nil"/>
              <w:bottom w:val="single" w:sz="4" w:space="0" w:color="auto"/>
              <w:right w:val="nil"/>
            </w:tcBorders>
            <w:shd w:val="clear" w:color="auto" w:fill="auto"/>
          </w:tcPr>
          <w:p w:rsidR="00614306" w:rsidRPr="00534482" w:rsidRDefault="00614306" w:rsidP="00614306">
            <w:pPr>
              <w:spacing w:before="60" w:after="60"/>
              <w:rPr>
                <w:rFonts w:cs="Arial"/>
                <w:b/>
                <w:bCs/>
                <w:color w:val="000000"/>
              </w:rPr>
            </w:pPr>
          </w:p>
        </w:tc>
        <w:tc>
          <w:tcPr>
            <w:tcW w:w="1134" w:type="dxa"/>
            <w:tcBorders>
              <w:top w:val="nil"/>
              <w:left w:val="nil"/>
              <w:bottom w:val="single" w:sz="4" w:space="0" w:color="auto"/>
              <w:right w:val="nil"/>
            </w:tcBorders>
            <w:shd w:val="clear" w:color="auto" w:fill="auto"/>
          </w:tcPr>
          <w:p w:rsidR="00614306" w:rsidRPr="00534482" w:rsidRDefault="00614306" w:rsidP="00614306">
            <w:pPr>
              <w:spacing w:before="60" w:after="60"/>
              <w:jc w:val="center"/>
              <w:rPr>
                <w:rFonts w:cs="Arial"/>
                <w:b/>
                <w:bCs/>
                <w:color w:val="000000"/>
              </w:rPr>
            </w:pPr>
          </w:p>
        </w:tc>
        <w:tc>
          <w:tcPr>
            <w:tcW w:w="1559" w:type="dxa"/>
            <w:tcBorders>
              <w:top w:val="nil"/>
              <w:left w:val="nil"/>
              <w:bottom w:val="single" w:sz="4" w:space="0" w:color="auto"/>
              <w:right w:val="single" w:sz="4" w:space="0" w:color="auto"/>
            </w:tcBorders>
            <w:shd w:val="clear" w:color="auto" w:fill="auto"/>
          </w:tcPr>
          <w:p w:rsidR="00614306" w:rsidRPr="00F46785" w:rsidRDefault="00614306" w:rsidP="00614306">
            <w:pPr>
              <w:spacing w:before="60" w:after="60"/>
              <w:rPr>
                <w:rFonts w:cs="Arial"/>
                <w:b/>
                <w:bCs/>
                <w:color w:val="000000"/>
              </w:rPr>
            </w:pP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BTLS</w:t>
            </w:r>
          </w:p>
        </w:tc>
        <w:tc>
          <w:tcPr>
            <w:tcW w:w="3402" w:type="dxa"/>
            <w:tcBorders>
              <w:top w:val="single" w:sz="4" w:space="0" w:color="auto"/>
              <w:bottom w:val="single" w:sz="4" w:space="0" w:color="auto"/>
            </w:tcBorders>
          </w:tcPr>
          <w:p w:rsidR="00614306" w:rsidRDefault="00614306" w:rsidP="00614306">
            <w:pPr>
              <w:spacing w:before="40" w:after="40"/>
              <w:rPr>
                <w:rFonts w:cs="Arial"/>
              </w:rPr>
            </w:pPr>
            <w:r>
              <w:rPr>
                <w:rFonts w:cs="Arial"/>
              </w:rPr>
              <w:t>ICT service governance</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rPr>
            </w:pPr>
            <w:r>
              <w:rPr>
                <w:rFonts w:cs="Arial"/>
              </w:rPr>
              <w:t>R</w:t>
            </w:r>
            <w:r w:rsidRPr="00F05EF2">
              <w:rPr>
                <w:rFonts w:cs="Arial"/>
              </w:rPr>
              <w:t xml:space="preserve">eview </w:t>
            </w:r>
            <w:r>
              <w:rPr>
                <w:rFonts w:cs="Arial"/>
              </w:rPr>
              <w:t xml:space="preserve">focussed on the control framework the council has established with BTLS over the ICT service provided. </w:t>
            </w:r>
            <w:r>
              <w:rPr>
                <w:rFonts w:cs="Arial"/>
                <w:color w:val="000000"/>
              </w:rPr>
              <w:t>(2019-ICT-8)</w:t>
            </w:r>
          </w:p>
        </w:tc>
        <w:tc>
          <w:tcPr>
            <w:tcW w:w="851" w:type="dxa"/>
            <w:tcBorders>
              <w:top w:val="single" w:sz="4" w:space="0" w:color="auto"/>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tcPr>
          <w:p w:rsidR="00614306" w:rsidRPr="00C02FBD" w:rsidRDefault="00614306" w:rsidP="00614306">
            <w:pPr>
              <w:spacing w:before="40" w:after="40"/>
              <w:rPr>
                <w:rFonts w:cs="Arial"/>
                <w:color w:val="000000"/>
              </w:rPr>
            </w:pPr>
            <w:r w:rsidRPr="00C24597">
              <w:rPr>
                <w:rFonts w:cs="Arial"/>
                <w:color w:val="000000"/>
              </w:rPr>
              <w:t>The contract with BTLS will come to an end in March 2021 but its key performance indicators have recently been made more robust. The key policies which should support a strategic view of the council's current and future business needs are not yet available but are nearing completion.</w:t>
            </w:r>
          </w:p>
        </w:tc>
        <w:tc>
          <w:tcPr>
            <w:tcW w:w="1559" w:type="dxa"/>
            <w:tcBorders>
              <w:top w:val="single" w:sz="4" w:space="0" w:color="auto"/>
              <w:bottom w:val="single" w:sz="4" w:space="0" w:color="auto"/>
            </w:tcBorders>
          </w:tcPr>
          <w:p w:rsidR="00614306" w:rsidRPr="00146E1E"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lastRenderedPageBreak/>
              <w:t>BTLS</w:t>
            </w:r>
          </w:p>
        </w:tc>
        <w:tc>
          <w:tcPr>
            <w:tcW w:w="3402" w:type="dxa"/>
            <w:tcBorders>
              <w:top w:val="single" w:sz="4" w:space="0" w:color="auto"/>
              <w:bottom w:val="single" w:sz="4" w:space="0" w:color="auto"/>
            </w:tcBorders>
          </w:tcPr>
          <w:p w:rsidR="00614306" w:rsidRDefault="00614306" w:rsidP="00614306">
            <w:pPr>
              <w:spacing w:before="40" w:after="40"/>
              <w:rPr>
                <w:rFonts w:cs="Arial"/>
              </w:rPr>
            </w:pPr>
            <w:r>
              <w:rPr>
                <w:rFonts w:cs="Arial"/>
              </w:rPr>
              <w:t>ICT service management</w:t>
            </w:r>
          </w:p>
        </w:tc>
        <w:tc>
          <w:tcPr>
            <w:tcW w:w="4394" w:type="dxa"/>
            <w:tcBorders>
              <w:top w:val="single" w:sz="4" w:space="0" w:color="auto"/>
              <w:bottom w:val="single" w:sz="4" w:space="0" w:color="auto"/>
            </w:tcBorders>
            <w:shd w:val="clear" w:color="auto" w:fill="auto"/>
            <w:noWrap/>
          </w:tcPr>
          <w:p w:rsidR="00614306" w:rsidRDefault="00614306" w:rsidP="00E015D1">
            <w:pPr>
              <w:spacing w:before="40" w:after="40"/>
              <w:rPr>
                <w:rFonts w:cs="Arial"/>
                <w:color w:val="000000"/>
              </w:rPr>
            </w:pPr>
            <w:r>
              <w:rPr>
                <w:rFonts w:cs="Arial"/>
                <w:color w:val="000000"/>
              </w:rPr>
              <w:t xml:space="preserve">Review of service management arrangements within BTLS and the council's Core Systems Team in accordance with </w:t>
            </w:r>
            <w:r w:rsidR="00E015D1" w:rsidRPr="00E015D1">
              <w:rPr>
                <w:rFonts w:cs="Arial"/>
                <w:color w:val="000000"/>
              </w:rPr>
              <w:t>service management and delivery standards.</w:t>
            </w:r>
            <w:r>
              <w:rPr>
                <w:rFonts w:cs="Arial"/>
                <w:color w:val="000000"/>
              </w:rPr>
              <w:t xml:space="preserve"> and other service management and delivery standards. (2019-ICT-2)</w:t>
            </w:r>
          </w:p>
        </w:tc>
        <w:tc>
          <w:tcPr>
            <w:tcW w:w="851" w:type="dxa"/>
            <w:tcBorders>
              <w:top w:val="single" w:sz="4" w:space="0" w:color="auto"/>
              <w:bottom w:val="single" w:sz="4" w:space="0" w:color="auto"/>
            </w:tcBorders>
            <w:tcMar>
              <w:right w:w="108" w:type="dxa"/>
            </w:tcMar>
          </w:tcPr>
          <w:p w:rsidR="00614306" w:rsidRDefault="00614306" w:rsidP="00614306">
            <w:pPr>
              <w:spacing w:before="40" w:after="40"/>
              <w:jc w:val="center"/>
              <w:rPr>
                <w:rFonts w:cs="Arial"/>
                <w:color w:val="000000"/>
              </w:rPr>
            </w:pPr>
            <w:r>
              <w:rPr>
                <w:rFonts w:cs="Arial"/>
                <w:color w:val="000000"/>
              </w:rPr>
              <w:t>1+2</w:t>
            </w:r>
          </w:p>
        </w:tc>
        <w:tc>
          <w:tcPr>
            <w:tcW w:w="5812" w:type="dxa"/>
            <w:tcBorders>
              <w:top w:val="single" w:sz="4" w:space="0" w:color="auto"/>
              <w:bottom w:val="single" w:sz="4" w:space="0" w:color="auto"/>
            </w:tcBorders>
          </w:tcPr>
          <w:p w:rsidR="00614306" w:rsidRPr="00723EA3" w:rsidRDefault="00614306" w:rsidP="00614306">
            <w:pPr>
              <w:spacing w:before="40" w:after="40"/>
              <w:rPr>
                <w:rFonts w:cs="Arial"/>
                <w:color w:val="000000"/>
              </w:rPr>
            </w:pPr>
            <w:r w:rsidRPr="00723EA3">
              <w:rPr>
                <w:rFonts w:cs="Arial"/>
                <w:color w:val="000000"/>
              </w:rPr>
              <w:t>ICT service management is currently split between the council and BTLS. BTLS operates effective controls over recovery from incidents, implementation of system changes, service-user requests and knowledge management but the council is still working to develop the controls it needs.</w:t>
            </w:r>
          </w:p>
        </w:tc>
        <w:tc>
          <w:tcPr>
            <w:tcW w:w="1559" w:type="dxa"/>
            <w:tcBorders>
              <w:top w:val="single" w:sz="4" w:space="0" w:color="auto"/>
              <w:bottom w:val="single" w:sz="4" w:space="0" w:color="auto"/>
            </w:tcBorders>
          </w:tcPr>
          <w:p w:rsidR="00614306" w:rsidRPr="00B3742A" w:rsidRDefault="00614306" w:rsidP="00614306">
            <w:pPr>
              <w:spacing w:before="40" w:after="40"/>
              <w:jc w:val="center"/>
              <w:rPr>
                <w:rFonts w:cs="Arial"/>
              </w:rPr>
            </w:pPr>
            <w:r>
              <w:rPr>
                <w:rFonts w:ascii="Wingdings" w:hAnsi="Wingdings" w:cs="Arial"/>
                <w:color w:val="000000"/>
              </w:rPr>
              <w:sym w:font="Wingdings" w:char="F0FC"/>
            </w:r>
          </w:p>
        </w:tc>
        <w:tc>
          <w:tcPr>
            <w:tcW w:w="1134" w:type="dxa"/>
            <w:tcBorders>
              <w:top w:val="single" w:sz="4" w:space="0" w:color="auto"/>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single" w:sz="4" w:space="0" w:color="auto"/>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BTLS</w:t>
            </w:r>
          </w:p>
        </w:tc>
        <w:tc>
          <w:tcPr>
            <w:tcW w:w="3402" w:type="dxa"/>
            <w:tcBorders>
              <w:top w:val="nil"/>
              <w:bottom w:val="single" w:sz="4" w:space="0" w:color="auto"/>
            </w:tcBorders>
          </w:tcPr>
          <w:p w:rsidR="00614306" w:rsidRDefault="00614306" w:rsidP="00614306">
            <w:pPr>
              <w:spacing w:before="40" w:after="40"/>
              <w:rPr>
                <w:rFonts w:cs="Arial"/>
              </w:rPr>
            </w:pPr>
            <w:r>
              <w:rPr>
                <w:rFonts w:cs="Arial"/>
              </w:rPr>
              <w:t xml:space="preserve">Critical application: </w:t>
            </w:r>
            <w:proofErr w:type="spellStart"/>
            <w:r w:rsidR="00E015D1">
              <w:rPr>
                <w:rFonts w:cs="Arial"/>
              </w:rPr>
              <w:t>Liquidlogic</w:t>
            </w:r>
            <w:proofErr w:type="spellEnd"/>
            <w:r w:rsidR="00E015D1">
              <w:rPr>
                <w:rFonts w:cs="Arial"/>
              </w:rPr>
              <w:t xml:space="preserve"> Adults System (LAS)</w:t>
            </w:r>
          </w:p>
        </w:tc>
        <w:tc>
          <w:tcPr>
            <w:tcW w:w="4394" w:type="dxa"/>
            <w:tcBorders>
              <w:top w:val="nil"/>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Consideration of the system's security, performance, resilience, backup and recovery and support arrangements. (2019-ICT-3)</w:t>
            </w:r>
          </w:p>
        </w:tc>
        <w:tc>
          <w:tcPr>
            <w:tcW w:w="851" w:type="dxa"/>
            <w:tcBorders>
              <w:top w:val="nil"/>
              <w:bottom w:val="single" w:sz="4" w:space="0" w:color="auto"/>
            </w:tcBorders>
            <w:tcMar>
              <w:right w:w="108" w:type="dxa"/>
            </w:tcMar>
          </w:tcPr>
          <w:p w:rsidR="00614306" w:rsidRDefault="00614306" w:rsidP="00614306">
            <w:pPr>
              <w:spacing w:before="40" w:after="40"/>
              <w:rPr>
                <w:rFonts w:cs="Arial"/>
                <w:color w:val="000000"/>
              </w:rPr>
            </w:pPr>
            <w:r>
              <w:rPr>
                <w:rFonts w:cs="Arial"/>
                <w:color w:val="000000"/>
              </w:rPr>
              <w:t>1+2</w:t>
            </w:r>
          </w:p>
        </w:tc>
        <w:tc>
          <w:tcPr>
            <w:tcW w:w="5812" w:type="dxa"/>
            <w:tcBorders>
              <w:top w:val="nil"/>
              <w:bottom w:val="single" w:sz="4" w:space="0" w:color="auto"/>
            </w:tcBorders>
          </w:tcPr>
          <w:p w:rsidR="00614306" w:rsidRPr="006C0A77" w:rsidRDefault="00614306" w:rsidP="00614306">
            <w:pPr>
              <w:spacing w:before="40" w:after="40"/>
              <w:rPr>
                <w:rFonts w:cs="Arial"/>
                <w:color w:val="000000"/>
              </w:rPr>
            </w:pPr>
            <w:r>
              <w:rPr>
                <w:rFonts w:cs="Arial"/>
              </w:rPr>
              <w:t>Although some action is necessary to improve the control framework in some respects, the council and BTLS are aware of this and are addressing matters that they have already identified</w:t>
            </w:r>
            <w:r w:rsidRPr="00950219">
              <w:rPr>
                <w:rFonts w:cs="Arial"/>
              </w:rPr>
              <w:t>.</w:t>
            </w:r>
            <w:r>
              <w:rPr>
                <w:rFonts w:cs="Arial"/>
              </w:rPr>
              <w:t xml:space="preserve"> Proactive measures are taken routinely to ensure the resilience and security of the system</w:t>
            </w:r>
          </w:p>
        </w:tc>
        <w:tc>
          <w:tcPr>
            <w:tcW w:w="1559" w:type="dxa"/>
            <w:tcBorders>
              <w:top w:val="nil"/>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134" w:type="dxa"/>
            <w:tcBorders>
              <w:top w:val="nil"/>
              <w:bottom w:val="single" w:sz="4" w:space="0" w:color="auto"/>
            </w:tcBorders>
          </w:tcPr>
          <w:p w:rsidR="00614306" w:rsidRDefault="00614306" w:rsidP="00614306">
            <w:pPr>
              <w:spacing w:before="40" w:after="40"/>
              <w:jc w:val="center"/>
              <w:rPr>
                <w:rFonts w:cs="Arial"/>
                <w:color w:val="000000"/>
              </w:rPr>
            </w:pPr>
            <w:r>
              <w:rPr>
                <w:rFonts w:ascii="Wingdings" w:hAnsi="Wingdings" w:cs="Arial"/>
                <w:color w:val="000000"/>
              </w:rPr>
              <w:sym w:font="Wingdings" w:char="F0FC"/>
            </w:r>
          </w:p>
        </w:tc>
        <w:tc>
          <w:tcPr>
            <w:tcW w:w="1559" w:type="dxa"/>
            <w:tcBorders>
              <w:top w:val="nil"/>
              <w:bottom w:val="single" w:sz="4" w:space="0" w:color="auto"/>
            </w:tcBorders>
          </w:tcPr>
          <w:p w:rsidR="00614306" w:rsidRPr="00F46785" w:rsidRDefault="00614306" w:rsidP="00614306">
            <w:pPr>
              <w:spacing w:before="40" w:after="40"/>
              <w:rPr>
                <w:rFonts w:cs="Arial"/>
                <w:color w:val="000000"/>
              </w:rPr>
            </w:pPr>
            <w:r w:rsidRPr="00F46785">
              <w:rPr>
                <w:rFonts w:cs="Arial"/>
                <w:color w:val="000000"/>
              </w:rPr>
              <w:t>Moderate</w:t>
            </w:r>
          </w:p>
        </w:tc>
      </w:tr>
      <w:tr w:rsidR="009C49B5" w:rsidTr="00614306">
        <w:trPr>
          <w:trHeight w:val="300"/>
        </w:trPr>
        <w:tc>
          <w:tcPr>
            <w:tcW w:w="2410"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BTLS</w:t>
            </w:r>
          </w:p>
        </w:tc>
        <w:tc>
          <w:tcPr>
            <w:tcW w:w="3402" w:type="dxa"/>
            <w:tcBorders>
              <w:top w:val="single" w:sz="4" w:space="0" w:color="auto"/>
              <w:bottom w:val="single" w:sz="4" w:space="0" w:color="auto"/>
            </w:tcBorders>
            <w:shd w:val="clear" w:color="auto" w:fill="auto"/>
          </w:tcPr>
          <w:p w:rsidR="00614306" w:rsidRDefault="00614306" w:rsidP="00614306">
            <w:pPr>
              <w:spacing w:before="40" w:after="40"/>
              <w:rPr>
                <w:rFonts w:cs="Arial"/>
              </w:rPr>
            </w:pPr>
            <w:r>
              <w:rPr>
                <w:rFonts w:cs="Arial"/>
              </w:rPr>
              <w:t>ICT programme and project management</w:t>
            </w:r>
          </w:p>
        </w:tc>
        <w:tc>
          <w:tcPr>
            <w:tcW w:w="4394" w:type="dxa"/>
            <w:tcBorders>
              <w:top w:val="single" w:sz="4" w:space="0" w:color="auto"/>
              <w:bottom w:val="single" w:sz="4" w:space="0" w:color="auto"/>
            </w:tcBorders>
            <w:shd w:val="clear" w:color="auto" w:fill="auto"/>
            <w:noWrap/>
          </w:tcPr>
          <w:p w:rsidR="00614306" w:rsidRDefault="00614306" w:rsidP="00614306">
            <w:pPr>
              <w:spacing w:before="40" w:after="40"/>
              <w:rPr>
                <w:rFonts w:cs="Arial"/>
                <w:color w:val="000000"/>
              </w:rPr>
            </w:pPr>
            <w:r>
              <w:rPr>
                <w:rFonts w:cs="Arial"/>
                <w:color w:val="000000"/>
              </w:rPr>
              <w:t>Review of the strategy and framework within which ICT programmes and projects are managed.</w:t>
            </w:r>
          </w:p>
          <w:p w:rsidR="00614306" w:rsidRDefault="00614306" w:rsidP="00614306">
            <w:pPr>
              <w:spacing w:before="40" w:after="40"/>
              <w:rPr>
                <w:rFonts w:cs="Arial"/>
              </w:rPr>
            </w:pPr>
            <w:r>
              <w:rPr>
                <w:rFonts w:cs="Arial"/>
                <w:color w:val="000000"/>
              </w:rPr>
              <w:t>(2019-ICT-9)</w:t>
            </w:r>
          </w:p>
        </w:tc>
        <w:tc>
          <w:tcPr>
            <w:tcW w:w="851" w:type="dxa"/>
            <w:tcBorders>
              <w:top w:val="single" w:sz="4" w:space="0" w:color="auto"/>
              <w:bottom w:val="single" w:sz="4" w:space="0" w:color="auto"/>
            </w:tcBorders>
            <w:shd w:val="clear" w:color="auto" w:fill="auto"/>
            <w:tcMar>
              <w:right w:w="108" w:type="dxa"/>
            </w:tcMar>
          </w:tcPr>
          <w:p w:rsidR="00614306" w:rsidRDefault="00614306" w:rsidP="00614306">
            <w:pPr>
              <w:spacing w:before="40" w:after="40"/>
              <w:rPr>
                <w:rFonts w:cs="Arial"/>
                <w:color w:val="000000"/>
              </w:rPr>
            </w:pPr>
            <w:r>
              <w:rPr>
                <w:rFonts w:cs="Arial"/>
                <w:color w:val="000000"/>
              </w:rPr>
              <w:t>1+2</w:t>
            </w:r>
          </w:p>
        </w:tc>
        <w:tc>
          <w:tcPr>
            <w:tcW w:w="5812" w:type="dxa"/>
            <w:tcBorders>
              <w:top w:val="single" w:sz="4" w:space="0" w:color="auto"/>
              <w:bottom w:val="single" w:sz="4" w:space="0" w:color="auto"/>
            </w:tcBorders>
            <w:shd w:val="clear" w:color="auto" w:fill="auto"/>
          </w:tcPr>
          <w:p w:rsidR="00614306" w:rsidRPr="00C02FBD" w:rsidRDefault="00614306" w:rsidP="00614306">
            <w:pPr>
              <w:spacing w:before="40" w:after="40"/>
              <w:rPr>
                <w:rFonts w:cs="Arial"/>
                <w:color w:val="000000"/>
              </w:rPr>
            </w:pPr>
            <w:r>
              <w:rPr>
                <w:rFonts w:cs="Arial"/>
                <w:color w:val="000000"/>
              </w:rPr>
              <w:t>Work will continue in 2020/21 to complete this audit.</w:t>
            </w:r>
          </w:p>
        </w:tc>
        <w:tc>
          <w:tcPr>
            <w:tcW w:w="1559" w:type="dxa"/>
            <w:tcBorders>
              <w:top w:val="single" w:sz="4" w:space="0" w:color="auto"/>
              <w:bottom w:val="single" w:sz="4" w:space="0" w:color="auto"/>
            </w:tcBorders>
            <w:shd w:val="clear" w:color="auto" w:fill="auto"/>
          </w:tcPr>
          <w:p w:rsidR="00614306" w:rsidRPr="00146E1E" w:rsidRDefault="00614306" w:rsidP="00614306">
            <w:pPr>
              <w:spacing w:before="40" w:after="40"/>
              <w:jc w:val="center"/>
              <w:rPr>
                <w:rFonts w:cs="Arial"/>
                <w:color w:val="000000"/>
              </w:rPr>
            </w:pPr>
            <w:r>
              <w:rPr>
                <w:rFonts w:cs="Arial"/>
                <w:color w:val="000000"/>
              </w:rPr>
              <w:t>X</w:t>
            </w:r>
          </w:p>
        </w:tc>
        <w:tc>
          <w:tcPr>
            <w:tcW w:w="1134" w:type="dxa"/>
            <w:tcBorders>
              <w:top w:val="single" w:sz="4" w:space="0" w:color="auto"/>
              <w:bottom w:val="single" w:sz="4" w:space="0" w:color="auto"/>
            </w:tcBorders>
            <w:shd w:val="clear" w:color="auto" w:fill="auto"/>
          </w:tcPr>
          <w:p w:rsidR="00614306" w:rsidRPr="009C64B7" w:rsidRDefault="00614306" w:rsidP="00614306">
            <w:pPr>
              <w:spacing w:before="40" w:after="40"/>
              <w:jc w:val="center"/>
              <w:rPr>
                <w:rFonts w:cs="Arial"/>
                <w:color w:val="000000"/>
              </w:rPr>
            </w:pPr>
            <w:r>
              <w:rPr>
                <w:rFonts w:cs="Arial"/>
                <w:color w:val="000000"/>
              </w:rPr>
              <w:t>N/A</w:t>
            </w:r>
          </w:p>
        </w:tc>
        <w:tc>
          <w:tcPr>
            <w:tcW w:w="1559" w:type="dxa"/>
            <w:tcBorders>
              <w:top w:val="single" w:sz="4" w:space="0" w:color="auto"/>
              <w:bottom w:val="single" w:sz="4" w:space="0" w:color="auto"/>
            </w:tcBorders>
            <w:shd w:val="clear" w:color="auto" w:fill="auto"/>
          </w:tcPr>
          <w:p w:rsidR="00614306" w:rsidRPr="00F46785" w:rsidRDefault="00614306" w:rsidP="00614306">
            <w:pPr>
              <w:spacing w:before="40" w:after="40"/>
              <w:rPr>
                <w:rFonts w:cs="Arial"/>
                <w:color w:val="000000"/>
              </w:rPr>
            </w:pPr>
            <w:r w:rsidRPr="00F46785">
              <w:rPr>
                <w:rFonts w:cs="Arial"/>
                <w:color w:val="000000"/>
              </w:rPr>
              <w:t>Not applicable</w:t>
            </w:r>
          </w:p>
        </w:tc>
      </w:tr>
    </w:tbl>
    <w:p w:rsidR="00614306" w:rsidRPr="00E511BF" w:rsidRDefault="00614306" w:rsidP="00614306"/>
    <w:sectPr w:rsidR="00614306" w:rsidRPr="00E511BF" w:rsidSect="00614306">
      <w:headerReference w:type="default" r:id="rId7"/>
      <w:headerReference w:type="first" r:id="rId8"/>
      <w:pgSz w:w="23814" w:h="16839" w:orient="landscape" w:code="8"/>
      <w:pgMar w:top="127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457" w:rsidRDefault="00E10457">
      <w:r>
        <w:separator/>
      </w:r>
    </w:p>
  </w:endnote>
  <w:endnote w:type="continuationSeparator" w:id="0">
    <w:p w:rsidR="00E10457" w:rsidRDefault="00E1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457" w:rsidRDefault="00E10457">
      <w:r>
        <w:separator/>
      </w:r>
    </w:p>
  </w:footnote>
  <w:footnote w:type="continuationSeparator" w:id="0">
    <w:p w:rsidR="00E10457" w:rsidRDefault="00E10457">
      <w:r>
        <w:continuationSeparator/>
      </w:r>
    </w:p>
  </w:footnote>
  <w:footnote w:id="1">
    <w:p w:rsidR="00E10457" w:rsidRPr="00C10D5E" w:rsidRDefault="00E10457">
      <w:pPr>
        <w:pStyle w:val="FootnoteText"/>
        <w:rPr>
          <w:b/>
        </w:rPr>
      </w:pPr>
      <w:r>
        <w:rPr>
          <w:rStyle w:val="FootnoteReference"/>
        </w:rPr>
        <w:footnoteRef/>
      </w:r>
      <w:r>
        <w:t xml:space="preserve"> Type of audit: in accordance with the explanation set out in the audit plan '1' is consultancy only, '2' is compliance testing only, '1+2' is a full risk and control evaluation.</w:t>
      </w:r>
    </w:p>
  </w:footnote>
  <w:footnote w:id="2">
    <w:p w:rsidR="00E10457" w:rsidRDefault="00E10457">
      <w:pPr>
        <w:pStyle w:val="FootnoteText"/>
      </w:pPr>
      <w:r>
        <w:rPr>
          <w:rStyle w:val="FootnoteReference"/>
        </w:rPr>
        <w:footnoteRef/>
      </w:r>
      <w:r>
        <w:t xml:space="preserve"> The outcome has been agreed with the audit sponsor; where not agreed the work has been completed at the end of the year without discussion with the auditees.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57" w:rsidRPr="00BD3224" w:rsidRDefault="00E10457" w:rsidP="00614306">
    <w:pPr>
      <w:pStyle w:val="Header"/>
      <w:tabs>
        <w:tab w:val="clear" w:pos="4513"/>
        <w:tab w:val="clear" w:pos="9026"/>
        <w:tab w:val="left" w:pos="275"/>
        <w:tab w:val="right" w:pos="20934"/>
      </w:tabs>
      <w:rPr>
        <w:b/>
        <w:sz w:val="20"/>
        <w:szCs w:val="20"/>
      </w:rPr>
    </w:pPr>
    <w:r w:rsidRPr="00BD3224">
      <w:rPr>
        <w:b/>
        <w:sz w:val="20"/>
        <w:szCs w:val="20"/>
      </w:rPr>
      <w:t>Outcomes of all audit work undertaken under the internal audit plan for 2019/20</w:t>
    </w:r>
    <w:r w:rsidRPr="00BD3224">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457" w:rsidRPr="00146E1E" w:rsidRDefault="00E10457" w:rsidP="00614306">
    <w:pPr>
      <w:pStyle w:val="Header"/>
      <w:tabs>
        <w:tab w:val="clear" w:pos="4513"/>
        <w:tab w:val="clear" w:pos="9026"/>
        <w:tab w:val="right" w:pos="20838"/>
      </w:tabs>
      <w:rPr>
        <w:b/>
        <w:sz w:val="28"/>
        <w:szCs w:val="28"/>
      </w:rPr>
    </w:pP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4F2530"/>
    <w:multiLevelType w:val="hybridMultilevel"/>
    <w:tmpl w:val="C2E19979"/>
    <w:lvl w:ilvl="0" w:tplc="71FE8D8E">
      <w:start w:val="1"/>
      <w:numFmt w:val="ideographDigital"/>
      <w:lvlText w:val=""/>
      <w:lvlJc w:val="left"/>
    </w:lvl>
    <w:lvl w:ilvl="1" w:tplc="0946469E">
      <w:numFmt w:val="decimal"/>
      <w:lvlText w:val=""/>
      <w:lvlJc w:val="left"/>
    </w:lvl>
    <w:lvl w:ilvl="2" w:tplc="89DC67C4">
      <w:numFmt w:val="decimal"/>
      <w:lvlText w:val=""/>
      <w:lvlJc w:val="left"/>
    </w:lvl>
    <w:lvl w:ilvl="3" w:tplc="3C40E37A">
      <w:numFmt w:val="decimal"/>
      <w:lvlText w:val=""/>
      <w:lvlJc w:val="left"/>
    </w:lvl>
    <w:lvl w:ilvl="4" w:tplc="55F2B6E8">
      <w:numFmt w:val="decimal"/>
      <w:lvlText w:val=""/>
      <w:lvlJc w:val="left"/>
    </w:lvl>
    <w:lvl w:ilvl="5" w:tplc="8B62CDB6">
      <w:numFmt w:val="decimal"/>
      <w:lvlText w:val=""/>
      <w:lvlJc w:val="left"/>
    </w:lvl>
    <w:lvl w:ilvl="6" w:tplc="79842F2C">
      <w:numFmt w:val="decimal"/>
      <w:lvlText w:val=""/>
      <w:lvlJc w:val="left"/>
    </w:lvl>
    <w:lvl w:ilvl="7" w:tplc="37D44C9E">
      <w:numFmt w:val="decimal"/>
      <w:lvlText w:val=""/>
      <w:lvlJc w:val="left"/>
    </w:lvl>
    <w:lvl w:ilvl="8" w:tplc="AAEA6290">
      <w:numFmt w:val="decimal"/>
      <w:lvlText w:val=""/>
      <w:lvlJc w:val="left"/>
    </w:lvl>
  </w:abstractNum>
  <w:abstractNum w:abstractNumId="1" w15:restartNumberingAfterBreak="0">
    <w:nsid w:val="A38705E6"/>
    <w:multiLevelType w:val="hybridMultilevel"/>
    <w:tmpl w:val="C5A6B8AD"/>
    <w:lvl w:ilvl="0" w:tplc="C24A40D4">
      <w:start w:val="1"/>
      <w:numFmt w:val="ideographDigital"/>
      <w:lvlText w:val=""/>
      <w:lvlJc w:val="left"/>
    </w:lvl>
    <w:lvl w:ilvl="1" w:tplc="76C00B98">
      <w:numFmt w:val="decimal"/>
      <w:lvlText w:val=""/>
      <w:lvlJc w:val="left"/>
    </w:lvl>
    <w:lvl w:ilvl="2" w:tplc="2A160AC2">
      <w:numFmt w:val="decimal"/>
      <w:lvlText w:val=""/>
      <w:lvlJc w:val="left"/>
    </w:lvl>
    <w:lvl w:ilvl="3" w:tplc="124A0464">
      <w:numFmt w:val="decimal"/>
      <w:lvlText w:val=""/>
      <w:lvlJc w:val="left"/>
    </w:lvl>
    <w:lvl w:ilvl="4" w:tplc="CB6A4E36">
      <w:numFmt w:val="decimal"/>
      <w:lvlText w:val=""/>
      <w:lvlJc w:val="left"/>
    </w:lvl>
    <w:lvl w:ilvl="5" w:tplc="ED349D88">
      <w:numFmt w:val="decimal"/>
      <w:lvlText w:val=""/>
      <w:lvlJc w:val="left"/>
    </w:lvl>
    <w:lvl w:ilvl="6" w:tplc="FBEE9D56">
      <w:numFmt w:val="decimal"/>
      <w:lvlText w:val=""/>
      <w:lvlJc w:val="left"/>
    </w:lvl>
    <w:lvl w:ilvl="7" w:tplc="61BCF990">
      <w:numFmt w:val="decimal"/>
      <w:lvlText w:val=""/>
      <w:lvlJc w:val="left"/>
    </w:lvl>
    <w:lvl w:ilvl="8" w:tplc="A7A25C3A">
      <w:numFmt w:val="decimal"/>
      <w:lvlText w:val=""/>
      <w:lvlJc w:val="left"/>
    </w:lvl>
  </w:abstractNum>
  <w:abstractNum w:abstractNumId="2" w15:restartNumberingAfterBreak="0">
    <w:nsid w:val="C9BB344A"/>
    <w:multiLevelType w:val="hybridMultilevel"/>
    <w:tmpl w:val="C760355A"/>
    <w:lvl w:ilvl="0" w:tplc="5058D44C">
      <w:start w:val="1"/>
      <w:numFmt w:val="ideographDigital"/>
      <w:lvlText w:val=""/>
      <w:lvlJc w:val="left"/>
    </w:lvl>
    <w:lvl w:ilvl="1" w:tplc="27AE9CF0">
      <w:numFmt w:val="decimal"/>
      <w:lvlText w:val=""/>
      <w:lvlJc w:val="left"/>
    </w:lvl>
    <w:lvl w:ilvl="2" w:tplc="4C1AF916">
      <w:numFmt w:val="decimal"/>
      <w:lvlText w:val=""/>
      <w:lvlJc w:val="left"/>
    </w:lvl>
    <w:lvl w:ilvl="3" w:tplc="6CF21C94">
      <w:numFmt w:val="decimal"/>
      <w:lvlText w:val=""/>
      <w:lvlJc w:val="left"/>
    </w:lvl>
    <w:lvl w:ilvl="4" w:tplc="DFBE2152">
      <w:numFmt w:val="decimal"/>
      <w:lvlText w:val=""/>
      <w:lvlJc w:val="left"/>
    </w:lvl>
    <w:lvl w:ilvl="5" w:tplc="AF8AF474">
      <w:numFmt w:val="decimal"/>
      <w:lvlText w:val=""/>
      <w:lvlJc w:val="left"/>
    </w:lvl>
    <w:lvl w:ilvl="6" w:tplc="CF661F70">
      <w:numFmt w:val="decimal"/>
      <w:lvlText w:val=""/>
      <w:lvlJc w:val="left"/>
    </w:lvl>
    <w:lvl w:ilvl="7" w:tplc="7FB2524E">
      <w:numFmt w:val="decimal"/>
      <w:lvlText w:val=""/>
      <w:lvlJc w:val="left"/>
    </w:lvl>
    <w:lvl w:ilvl="8" w:tplc="E85E0982">
      <w:numFmt w:val="decimal"/>
      <w:lvlText w:val=""/>
      <w:lvlJc w:val="left"/>
    </w:lvl>
  </w:abstractNum>
  <w:abstractNum w:abstractNumId="3" w15:restartNumberingAfterBreak="0">
    <w:nsid w:val="F509B20C"/>
    <w:multiLevelType w:val="hybridMultilevel"/>
    <w:tmpl w:val="48120C62"/>
    <w:lvl w:ilvl="0" w:tplc="AB046536">
      <w:start w:val="1"/>
      <w:numFmt w:val="ideographDigital"/>
      <w:lvlText w:val=""/>
      <w:lvlJc w:val="left"/>
    </w:lvl>
    <w:lvl w:ilvl="1" w:tplc="5672ADC2">
      <w:numFmt w:val="decimal"/>
      <w:lvlText w:val=""/>
      <w:lvlJc w:val="left"/>
    </w:lvl>
    <w:lvl w:ilvl="2" w:tplc="926E16BC">
      <w:numFmt w:val="decimal"/>
      <w:lvlText w:val=""/>
      <w:lvlJc w:val="left"/>
    </w:lvl>
    <w:lvl w:ilvl="3" w:tplc="6F6AC1C8">
      <w:numFmt w:val="decimal"/>
      <w:lvlText w:val=""/>
      <w:lvlJc w:val="left"/>
    </w:lvl>
    <w:lvl w:ilvl="4" w:tplc="CD1E9F1C">
      <w:numFmt w:val="decimal"/>
      <w:lvlText w:val=""/>
      <w:lvlJc w:val="left"/>
    </w:lvl>
    <w:lvl w:ilvl="5" w:tplc="847C03DE">
      <w:numFmt w:val="decimal"/>
      <w:lvlText w:val=""/>
      <w:lvlJc w:val="left"/>
    </w:lvl>
    <w:lvl w:ilvl="6" w:tplc="CF3A83A8">
      <w:numFmt w:val="decimal"/>
      <w:lvlText w:val=""/>
      <w:lvlJc w:val="left"/>
    </w:lvl>
    <w:lvl w:ilvl="7" w:tplc="47722F6E">
      <w:numFmt w:val="decimal"/>
      <w:lvlText w:val=""/>
      <w:lvlJc w:val="left"/>
    </w:lvl>
    <w:lvl w:ilvl="8" w:tplc="F34C2D54">
      <w:numFmt w:val="decimal"/>
      <w:lvlText w:val=""/>
      <w:lvlJc w:val="left"/>
    </w:lvl>
  </w:abstractNum>
  <w:abstractNum w:abstractNumId="4" w15:restartNumberingAfterBreak="0">
    <w:nsid w:val="FFFFFF7C"/>
    <w:multiLevelType w:val="singleLevel"/>
    <w:tmpl w:val="C52CDE68"/>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260E5DF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46966CEC"/>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3E501740"/>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C928830E"/>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6DC6D42A"/>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6B7C1560"/>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20EA3994"/>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9"/>
    <w:multiLevelType w:val="singleLevel"/>
    <w:tmpl w:val="08AAA42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61A4062"/>
    <w:multiLevelType w:val="hybridMultilevel"/>
    <w:tmpl w:val="513AA548"/>
    <w:lvl w:ilvl="0" w:tplc="51605D42">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1EB0A850" w:tentative="1">
      <w:start w:val="1"/>
      <w:numFmt w:val="lowerLetter"/>
      <w:lvlText w:val="%2."/>
      <w:lvlJc w:val="left"/>
      <w:pPr>
        <w:ind w:left="1440" w:hanging="360"/>
      </w:pPr>
    </w:lvl>
    <w:lvl w:ilvl="2" w:tplc="AFF624AA" w:tentative="1">
      <w:start w:val="1"/>
      <w:numFmt w:val="lowerRoman"/>
      <w:lvlText w:val="%3."/>
      <w:lvlJc w:val="right"/>
      <w:pPr>
        <w:ind w:left="2160" w:hanging="180"/>
      </w:pPr>
    </w:lvl>
    <w:lvl w:ilvl="3" w:tplc="CEE81C18" w:tentative="1">
      <w:start w:val="1"/>
      <w:numFmt w:val="decimal"/>
      <w:lvlText w:val="%4."/>
      <w:lvlJc w:val="left"/>
      <w:pPr>
        <w:ind w:left="2880" w:hanging="360"/>
      </w:pPr>
    </w:lvl>
    <w:lvl w:ilvl="4" w:tplc="4F62BC5E" w:tentative="1">
      <w:start w:val="1"/>
      <w:numFmt w:val="lowerLetter"/>
      <w:lvlText w:val="%5."/>
      <w:lvlJc w:val="left"/>
      <w:pPr>
        <w:ind w:left="3600" w:hanging="360"/>
      </w:pPr>
    </w:lvl>
    <w:lvl w:ilvl="5" w:tplc="EF7C196A" w:tentative="1">
      <w:start w:val="1"/>
      <w:numFmt w:val="lowerRoman"/>
      <w:lvlText w:val="%6."/>
      <w:lvlJc w:val="right"/>
      <w:pPr>
        <w:ind w:left="4320" w:hanging="180"/>
      </w:pPr>
    </w:lvl>
    <w:lvl w:ilvl="6" w:tplc="5DA61182" w:tentative="1">
      <w:start w:val="1"/>
      <w:numFmt w:val="decimal"/>
      <w:lvlText w:val="%7."/>
      <w:lvlJc w:val="left"/>
      <w:pPr>
        <w:ind w:left="5040" w:hanging="360"/>
      </w:pPr>
    </w:lvl>
    <w:lvl w:ilvl="7" w:tplc="F872F0D8" w:tentative="1">
      <w:start w:val="1"/>
      <w:numFmt w:val="lowerLetter"/>
      <w:lvlText w:val="%8."/>
      <w:lvlJc w:val="left"/>
      <w:pPr>
        <w:ind w:left="5760" w:hanging="360"/>
      </w:pPr>
    </w:lvl>
    <w:lvl w:ilvl="8" w:tplc="1F30DFC8" w:tentative="1">
      <w:start w:val="1"/>
      <w:numFmt w:val="lowerRoman"/>
      <w:lvlText w:val="%9."/>
      <w:lvlJc w:val="right"/>
      <w:pPr>
        <w:ind w:left="6480" w:hanging="180"/>
      </w:pPr>
    </w:lvl>
  </w:abstractNum>
  <w:abstractNum w:abstractNumId="15"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A4812F3"/>
    <w:multiLevelType w:val="hybridMultilevel"/>
    <w:tmpl w:val="4CAEF9A0"/>
    <w:lvl w:ilvl="0" w:tplc="C15A130A">
      <w:start w:val="1"/>
      <w:numFmt w:val="ideographDigital"/>
      <w:lvlText w:val=""/>
      <w:lvlJc w:val="left"/>
    </w:lvl>
    <w:lvl w:ilvl="1" w:tplc="A7F25C2A">
      <w:numFmt w:val="decimal"/>
      <w:lvlText w:val=""/>
      <w:lvlJc w:val="left"/>
    </w:lvl>
    <w:lvl w:ilvl="2" w:tplc="48F41536">
      <w:numFmt w:val="decimal"/>
      <w:lvlText w:val=""/>
      <w:lvlJc w:val="left"/>
    </w:lvl>
    <w:lvl w:ilvl="3" w:tplc="192CFE76">
      <w:numFmt w:val="decimal"/>
      <w:lvlText w:val=""/>
      <w:lvlJc w:val="left"/>
    </w:lvl>
    <w:lvl w:ilvl="4" w:tplc="7C8C946C">
      <w:numFmt w:val="decimal"/>
      <w:lvlText w:val=""/>
      <w:lvlJc w:val="left"/>
    </w:lvl>
    <w:lvl w:ilvl="5" w:tplc="5D4A5D10">
      <w:numFmt w:val="decimal"/>
      <w:lvlText w:val=""/>
      <w:lvlJc w:val="left"/>
    </w:lvl>
    <w:lvl w:ilvl="6" w:tplc="9FFC03E4">
      <w:numFmt w:val="decimal"/>
      <w:lvlText w:val=""/>
      <w:lvlJc w:val="left"/>
    </w:lvl>
    <w:lvl w:ilvl="7" w:tplc="82427CAC">
      <w:numFmt w:val="decimal"/>
      <w:lvlText w:val=""/>
      <w:lvlJc w:val="left"/>
    </w:lvl>
    <w:lvl w:ilvl="8" w:tplc="59D0F828">
      <w:numFmt w:val="decimal"/>
      <w:lvlText w:val=""/>
      <w:lvlJc w:val="left"/>
    </w:lvl>
  </w:abstractNum>
  <w:abstractNum w:abstractNumId="17" w15:restartNumberingAfterBreak="0">
    <w:nsid w:val="31293341"/>
    <w:multiLevelType w:val="multilevel"/>
    <w:tmpl w:val="B426CB4E"/>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b w:val="0"/>
      </w:rPr>
    </w:lvl>
    <w:lvl w:ilvl="2">
      <w:start w:val="1"/>
      <w:numFmt w:val="bullet"/>
      <w:lvlText w:val=""/>
      <w:lvlJc w:val="left"/>
      <w:pPr>
        <w:tabs>
          <w:tab w:val="num" w:pos="1440"/>
        </w:tabs>
        <w:ind w:left="1440" w:hanging="720"/>
      </w:pPr>
      <w:rPr>
        <w:rFonts w:ascii="Symbol" w:hAnsi="Symbol"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373A0933"/>
    <w:multiLevelType w:val="hybridMultilevel"/>
    <w:tmpl w:val="AA0CF2E3"/>
    <w:lvl w:ilvl="0" w:tplc="842E4790">
      <w:start w:val="1"/>
      <w:numFmt w:val="ideographDigital"/>
      <w:lvlText w:val=""/>
      <w:lvlJc w:val="left"/>
    </w:lvl>
    <w:lvl w:ilvl="1" w:tplc="E1DE7BDE">
      <w:numFmt w:val="decimal"/>
      <w:lvlText w:val=""/>
      <w:lvlJc w:val="left"/>
    </w:lvl>
    <w:lvl w:ilvl="2" w:tplc="88E65A42">
      <w:numFmt w:val="decimal"/>
      <w:lvlText w:val=""/>
      <w:lvlJc w:val="left"/>
    </w:lvl>
    <w:lvl w:ilvl="3" w:tplc="FFAC1B46">
      <w:numFmt w:val="decimal"/>
      <w:lvlText w:val=""/>
      <w:lvlJc w:val="left"/>
    </w:lvl>
    <w:lvl w:ilvl="4" w:tplc="B11E73B0">
      <w:numFmt w:val="decimal"/>
      <w:lvlText w:val=""/>
      <w:lvlJc w:val="left"/>
    </w:lvl>
    <w:lvl w:ilvl="5" w:tplc="A58EB578">
      <w:numFmt w:val="decimal"/>
      <w:lvlText w:val=""/>
      <w:lvlJc w:val="left"/>
    </w:lvl>
    <w:lvl w:ilvl="6" w:tplc="45B46EBE">
      <w:numFmt w:val="decimal"/>
      <w:lvlText w:val=""/>
      <w:lvlJc w:val="left"/>
    </w:lvl>
    <w:lvl w:ilvl="7" w:tplc="0E646D10">
      <w:numFmt w:val="decimal"/>
      <w:lvlText w:val=""/>
      <w:lvlJc w:val="left"/>
    </w:lvl>
    <w:lvl w:ilvl="8" w:tplc="7FEE323A">
      <w:numFmt w:val="decimal"/>
      <w:lvlText w:val=""/>
      <w:lvlJc w:val="left"/>
    </w:lvl>
  </w:abstractNum>
  <w:abstractNum w:abstractNumId="19" w15:restartNumberingAfterBreak="0">
    <w:nsid w:val="43EB58E9"/>
    <w:multiLevelType w:val="hybridMultilevel"/>
    <w:tmpl w:val="D0A85866"/>
    <w:lvl w:ilvl="0" w:tplc="508A46C0">
      <w:start w:val="1"/>
      <w:numFmt w:val="bullet"/>
      <w:pStyle w:val="R6sub-bullet"/>
      <w:lvlText w:val="˗"/>
      <w:lvlJc w:val="left"/>
      <w:pPr>
        <w:ind w:left="2083" w:hanging="360"/>
      </w:pPr>
      <w:rPr>
        <w:rFonts w:ascii="Arial" w:hAnsi="Arial" w:hint="default"/>
      </w:rPr>
    </w:lvl>
    <w:lvl w:ilvl="1" w:tplc="B3F8BC30" w:tentative="1">
      <w:start w:val="1"/>
      <w:numFmt w:val="bullet"/>
      <w:lvlText w:val="o"/>
      <w:lvlJc w:val="left"/>
      <w:pPr>
        <w:ind w:left="2803" w:hanging="360"/>
      </w:pPr>
      <w:rPr>
        <w:rFonts w:ascii="Courier New" w:hAnsi="Courier New" w:cs="Courier New" w:hint="default"/>
      </w:rPr>
    </w:lvl>
    <w:lvl w:ilvl="2" w:tplc="217E5ACA" w:tentative="1">
      <w:start w:val="1"/>
      <w:numFmt w:val="bullet"/>
      <w:lvlText w:val=""/>
      <w:lvlJc w:val="left"/>
      <w:pPr>
        <w:ind w:left="3523" w:hanging="360"/>
      </w:pPr>
      <w:rPr>
        <w:rFonts w:ascii="Wingdings" w:hAnsi="Wingdings" w:hint="default"/>
      </w:rPr>
    </w:lvl>
    <w:lvl w:ilvl="3" w:tplc="4ACA8F14" w:tentative="1">
      <w:start w:val="1"/>
      <w:numFmt w:val="bullet"/>
      <w:lvlText w:val=""/>
      <w:lvlJc w:val="left"/>
      <w:pPr>
        <w:ind w:left="4243" w:hanging="360"/>
      </w:pPr>
      <w:rPr>
        <w:rFonts w:ascii="Symbol" w:hAnsi="Symbol" w:hint="default"/>
      </w:rPr>
    </w:lvl>
    <w:lvl w:ilvl="4" w:tplc="780E1372" w:tentative="1">
      <w:start w:val="1"/>
      <w:numFmt w:val="bullet"/>
      <w:lvlText w:val="o"/>
      <w:lvlJc w:val="left"/>
      <w:pPr>
        <w:ind w:left="4963" w:hanging="360"/>
      </w:pPr>
      <w:rPr>
        <w:rFonts w:ascii="Courier New" w:hAnsi="Courier New" w:cs="Courier New" w:hint="default"/>
      </w:rPr>
    </w:lvl>
    <w:lvl w:ilvl="5" w:tplc="7C8A54AA" w:tentative="1">
      <w:start w:val="1"/>
      <w:numFmt w:val="bullet"/>
      <w:lvlText w:val=""/>
      <w:lvlJc w:val="left"/>
      <w:pPr>
        <w:ind w:left="5683" w:hanging="360"/>
      </w:pPr>
      <w:rPr>
        <w:rFonts w:ascii="Wingdings" w:hAnsi="Wingdings" w:hint="default"/>
      </w:rPr>
    </w:lvl>
    <w:lvl w:ilvl="6" w:tplc="71126430" w:tentative="1">
      <w:start w:val="1"/>
      <w:numFmt w:val="bullet"/>
      <w:lvlText w:val=""/>
      <w:lvlJc w:val="left"/>
      <w:pPr>
        <w:ind w:left="6403" w:hanging="360"/>
      </w:pPr>
      <w:rPr>
        <w:rFonts w:ascii="Symbol" w:hAnsi="Symbol" w:hint="default"/>
      </w:rPr>
    </w:lvl>
    <w:lvl w:ilvl="7" w:tplc="04A0DE86" w:tentative="1">
      <w:start w:val="1"/>
      <w:numFmt w:val="bullet"/>
      <w:lvlText w:val="o"/>
      <w:lvlJc w:val="left"/>
      <w:pPr>
        <w:ind w:left="7123" w:hanging="360"/>
      </w:pPr>
      <w:rPr>
        <w:rFonts w:ascii="Courier New" w:hAnsi="Courier New" w:cs="Courier New" w:hint="default"/>
      </w:rPr>
    </w:lvl>
    <w:lvl w:ilvl="8" w:tplc="59826698" w:tentative="1">
      <w:start w:val="1"/>
      <w:numFmt w:val="bullet"/>
      <w:lvlText w:val=""/>
      <w:lvlJc w:val="left"/>
      <w:pPr>
        <w:ind w:left="7843" w:hanging="360"/>
      </w:pPr>
      <w:rPr>
        <w:rFonts w:ascii="Wingdings" w:hAnsi="Wingdings" w:hint="default"/>
      </w:rPr>
    </w:lvl>
  </w:abstractNum>
  <w:abstractNum w:abstractNumId="20" w15:restartNumberingAfterBreak="0">
    <w:nsid w:val="45A92998"/>
    <w:multiLevelType w:val="multilevel"/>
    <w:tmpl w:val="CD002954"/>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47C75BDA"/>
    <w:multiLevelType w:val="hybridMultilevel"/>
    <w:tmpl w:val="8B1E8F12"/>
    <w:lvl w:ilvl="0" w:tplc="520ADA00">
      <w:start w:val="1"/>
      <w:numFmt w:val="bullet"/>
      <w:pStyle w:val="R5bullet"/>
      <w:lvlText w:val=""/>
      <w:lvlJc w:val="left"/>
      <w:pPr>
        <w:ind w:left="1440" w:hanging="360"/>
      </w:pPr>
      <w:rPr>
        <w:rFonts w:ascii="Symbol" w:hAnsi="Symbol" w:hint="default"/>
      </w:rPr>
    </w:lvl>
    <w:lvl w:ilvl="1" w:tplc="E026CF1A" w:tentative="1">
      <w:start w:val="1"/>
      <w:numFmt w:val="bullet"/>
      <w:lvlText w:val="o"/>
      <w:lvlJc w:val="left"/>
      <w:pPr>
        <w:ind w:left="2160" w:hanging="360"/>
      </w:pPr>
      <w:rPr>
        <w:rFonts w:ascii="Courier New" w:hAnsi="Courier New" w:cs="Courier New" w:hint="default"/>
      </w:rPr>
    </w:lvl>
    <w:lvl w:ilvl="2" w:tplc="C5B07A32" w:tentative="1">
      <w:start w:val="1"/>
      <w:numFmt w:val="bullet"/>
      <w:lvlText w:val=""/>
      <w:lvlJc w:val="left"/>
      <w:pPr>
        <w:ind w:left="2880" w:hanging="360"/>
      </w:pPr>
      <w:rPr>
        <w:rFonts w:ascii="Wingdings" w:hAnsi="Wingdings" w:hint="default"/>
      </w:rPr>
    </w:lvl>
    <w:lvl w:ilvl="3" w:tplc="6B0AB94E" w:tentative="1">
      <w:start w:val="1"/>
      <w:numFmt w:val="bullet"/>
      <w:lvlText w:val=""/>
      <w:lvlJc w:val="left"/>
      <w:pPr>
        <w:ind w:left="3600" w:hanging="360"/>
      </w:pPr>
      <w:rPr>
        <w:rFonts w:ascii="Symbol" w:hAnsi="Symbol" w:hint="default"/>
      </w:rPr>
    </w:lvl>
    <w:lvl w:ilvl="4" w:tplc="6284E522" w:tentative="1">
      <w:start w:val="1"/>
      <w:numFmt w:val="bullet"/>
      <w:lvlText w:val="o"/>
      <w:lvlJc w:val="left"/>
      <w:pPr>
        <w:ind w:left="4320" w:hanging="360"/>
      </w:pPr>
      <w:rPr>
        <w:rFonts w:ascii="Courier New" w:hAnsi="Courier New" w:cs="Courier New" w:hint="default"/>
      </w:rPr>
    </w:lvl>
    <w:lvl w:ilvl="5" w:tplc="E124E7AA" w:tentative="1">
      <w:start w:val="1"/>
      <w:numFmt w:val="bullet"/>
      <w:lvlText w:val=""/>
      <w:lvlJc w:val="left"/>
      <w:pPr>
        <w:ind w:left="5040" w:hanging="360"/>
      </w:pPr>
      <w:rPr>
        <w:rFonts w:ascii="Wingdings" w:hAnsi="Wingdings" w:hint="default"/>
      </w:rPr>
    </w:lvl>
    <w:lvl w:ilvl="6" w:tplc="242C1382" w:tentative="1">
      <w:start w:val="1"/>
      <w:numFmt w:val="bullet"/>
      <w:lvlText w:val=""/>
      <w:lvlJc w:val="left"/>
      <w:pPr>
        <w:ind w:left="5760" w:hanging="360"/>
      </w:pPr>
      <w:rPr>
        <w:rFonts w:ascii="Symbol" w:hAnsi="Symbol" w:hint="default"/>
      </w:rPr>
    </w:lvl>
    <w:lvl w:ilvl="7" w:tplc="CAC6BD5C" w:tentative="1">
      <w:start w:val="1"/>
      <w:numFmt w:val="bullet"/>
      <w:lvlText w:val="o"/>
      <w:lvlJc w:val="left"/>
      <w:pPr>
        <w:ind w:left="6480" w:hanging="360"/>
      </w:pPr>
      <w:rPr>
        <w:rFonts w:ascii="Courier New" w:hAnsi="Courier New" w:cs="Courier New" w:hint="default"/>
      </w:rPr>
    </w:lvl>
    <w:lvl w:ilvl="8" w:tplc="1C1CD20E" w:tentative="1">
      <w:start w:val="1"/>
      <w:numFmt w:val="bullet"/>
      <w:lvlText w:val=""/>
      <w:lvlJc w:val="left"/>
      <w:pPr>
        <w:ind w:left="7200" w:hanging="360"/>
      </w:pPr>
      <w:rPr>
        <w:rFonts w:ascii="Wingdings" w:hAnsi="Wingdings" w:hint="default"/>
      </w:rPr>
    </w:lvl>
  </w:abstractNum>
  <w:abstractNum w:abstractNumId="22" w15:restartNumberingAfterBreak="0">
    <w:nsid w:val="48C45CB9"/>
    <w:multiLevelType w:val="multilevel"/>
    <w:tmpl w:val="18D61632"/>
    <w:lvl w:ilvl="0">
      <w:start w:val="1"/>
      <w:numFmt w:val="decimal"/>
      <w:lvlText w:val="%1."/>
      <w:lvlJc w:val="left"/>
      <w:pPr>
        <w:ind w:left="284" w:firstLine="76"/>
      </w:pPr>
      <w:rPr>
        <w:rFonts w:hint="default"/>
      </w:rPr>
    </w:lvl>
    <w:lvl w:ilvl="1">
      <w:start w:val="1"/>
      <w:numFmt w:val="decimal"/>
      <w:isLgl/>
      <w:lvlText w:val="%1.%2"/>
      <w:lvlJc w:val="left"/>
      <w:pPr>
        <w:ind w:left="720" w:hanging="663"/>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457781"/>
    <w:multiLevelType w:val="hybridMultilevel"/>
    <w:tmpl w:val="B02E4626"/>
    <w:lvl w:ilvl="0" w:tplc="87D6A160">
      <w:start w:val="1"/>
      <w:numFmt w:val="bullet"/>
      <w:lvlText w:val=""/>
      <w:lvlJc w:val="left"/>
      <w:pPr>
        <w:ind w:left="1492" w:hanging="360"/>
      </w:pPr>
      <w:rPr>
        <w:rFonts w:ascii="Symbol" w:hAnsi="Symbol" w:hint="default"/>
      </w:rPr>
    </w:lvl>
    <w:lvl w:ilvl="1" w:tplc="60FAC436" w:tentative="1">
      <w:start w:val="1"/>
      <w:numFmt w:val="bullet"/>
      <w:lvlText w:val="o"/>
      <w:lvlJc w:val="left"/>
      <w:pPr>
        <w:ind w:left="2212" w:hanging="360"/>
      </w:pPr>
      <w:rPr>
        <w:rFonts w:ascii="Courier New" w:hAnsi="Courier New" w:cs="Courier New" w:hint="default"/>
      </w:rPr>
    </w:lvl>
    <w:lvl w:ilvl="2" w:tplc="C9C06A3A" w:tentative="1">
      <w:start w:val="1"/>
      <w:numFmt w:val="bullet"/>
      <w:lvlText w:val=""/>
      <w:lvlJc w:val="left"/>
      <w:pPr>
        <w:ind w:left="2932" w:hanging="360"/>
      </w:pPr>
      <w:rPr>
        <w:rFonts w:ascii="Wingdings" w:hAnsi="Wingdings" w:hint="default"/>
      </w:rPr>
    </w:lvl>
    <w:lvl w:ilvl="3" w:tplc="8AF8B258" w:tentative="1">
      <w:start w:val="1"/>
      <w:numFmt w:val="bullet"/>
      <w:lvlText w:val=""/>
      <w:lvlJc w:val="left"/>
      <w:pPr>
        <w:ind w:left="3652" w:hanging="360"/>
      </w:pPr>
      <w:rPr>
        <w:rFonts w:ascii="Symbol" w:hAnsi="Symbol" w:hint="default"/>
      </w:rPr>
    </w:lvl>
    <w:lvl w:ilvl="4" w:tplc="830E56BA" w:tentative="1">
      <w:start w:val="1"/>
      <w:numFmt w:val="bullet"/>
      <w:lvlText w:val="o"/>
      <w:lvlJc w:val="left"/>
      <w:pPr>
        <w:ind w:left="4372" w:hanging="360"/>
      </w:pPr>
      <w:rPr>
        <w:rFonts w:ascii="Courier New" w:hAnsi="Courier New" w:cs="Courier New" w:hint="default"/>
      </w:rPr>
    </w:lvl>
    <w:lvl w:ilvl="5" w:tplc="B41C1786" w:tentative="1">
      <w:start w:val="1"/>
      <w:numFmt w:val="bullet"/>
      <w:lvlText w:val=""/>
      <w:lvlJc w:val="left"/>
      <w:pPr>
        <w:ind w:left="5092" w:hanging="360"/>
      </w:pPr>
      <w:rPr>
        <w:rFonts w:ascii="Wingdings" w:hAnsi="Wingdings" w:hint="default"/>
      </w:rPr>
    </w:lvl>
    <w:lvl w:ilvl="6" w:tplc="C14E7330" w:tentative="1">
      <w:start w:val="1"/>
      <w:numFmt w:val="bullet"/>
      <w:lvlText w:val=""/>
      <w:lvlJc w:val="left"/>
      <w:pPr>
        <w:ind w:left="5812" w:hanging="360"/>
      </w:pPr>
      <w:rPr>
        <w:rFonts w:ascii="Symbol" w:hAnsi="Symbol" w:hint="default"/>
      </w:rPr>
    </w:lvl>
    <w:lvl w:ilvl="7" w:tplc="91B07C38" w:tentative="1">
      <w:start w:val="1"/>
      <w:numFmt w:val="bullet"/>
      <w:lvlText w:val="o"/>
      <w:lvlJc w:val="left"/>
      <w:pPr>
        <w:ind w:left="6532" w:hanging="360"/>
      </w:pPr>
      <w:rPr>
        <w:rFonts w:ascii="Courier New" w:hAnsi="Courier New" w:cs="Courier New" w:hint="default"/>
      </w:rPr>
    </w:lvl>
    <w:lvl w:ilvl="8" w:tplc="0DA00E34" w:tentative="1">
      <w:start w:val="1"/>
      <w:numFmt w:val="bullet"/>
      <w:lvlText w:val=""/>
      <w:lvlJc w:val="left"/>
      <w:pPr>
        <w:ind w:left="7252" w:hanging="360"/>
      </w:pPr>
      <w:rPr>
        <w:rFonts w:ascii="Wingdings" w:hAnsi="Wingdings" w:hint="default"/>
      </w:rPr>
    </w:lvl>
  </w:abstractNum>
  <w:abstractNum w:abstractNumId="24" w15:restartNumberingAfterBreak="0">
    <w:nsid w:val="52B23514"/>
    <w:multiLevelType w:val="multilevel"/>
    <w:tmpl w:val="B762B1D6"/>
    <w:lvl w:ilvl="0">
      <w:start w:val="1"/>
      <w:numFmt w:val="decimal"/>
      <w:pStyle w:val="ListParagraph"/>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69536897"/>
    <w:multiLevelType w:val="multilevel"/>
    <w:tmpl w:val="A8D6C1F2"/>
    <w:lvl w:ilvl="0">
      <w:start w:val="1"/>
      <w:numFmt w:val="decimal"/>
      <w:pStyle w:val="R1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3paragraph"/>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pStyle w:val="R7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F25065B"/>
    <w:multiLevelType w:val="hybridMultilevel"/>
    <w:tmpl w:val="0F56D0A2"/>
    <w:lvl w:ilvl="0" w:tplc="66D0940E">
      <w:start w:val="1"/>
      <w:numFmt w:val="bullet"/>
      <w:lvlText w:val=""/>
      <w:lvlJc w:val="left"/>
      <w:pPr>
        <w:ind w:left="1571" w:hanging="360"/>
      </w:pPr>
      <w:rPr>
        <w:rFonts w:ascii="Symbol" w:hAnsi="Symbol" w:hint="default"/>
      </w:rPr>
    </w:lvl>
    <w:lvl w:ilvl="1" w:tplc="75E2E828" w:tentative="1">
      <w:start w:val="1"/>
      <w:numFmt w:val="bullet"/>
      <w:lvlText w:val="o"/>
      <w:lvlJc w:val="left"/>
      <w:pPr>
        <w:ind w:left="2291" w:hanging="360"/>
      </w:pPr>
      <w:rPr>
        <w:rFonts w:ascii="Courier New" w:hAnsi="Courier New" w:cs="Courier New" w:hint="default"/>
      </w:rPr>
    </w:lvl>
    <w:lvl w:ilvl="2" w:tplc="02BAD792" w:tentative="1">
      <w:start w:val="1"/>
      <w:numFmt w:val="bullet"/>
      <w:lvlText w:val=""/>
      <w:lvlJc w:val="left"/>
      <w:pPr>
        <w:ind w:left="3011" w:hanging="360"/>
      </w:pPr>
      <w:rPr>
        <w:rFonts w:ascii="Wingdings" w:hAnsi="Wingdings" w:hint="default"/>
      </w:rPr>
    </w:lvl>
    <w:lvl w:ilvl="3" w:tplc="B4B068E0" w:tentative="1">
      <w:start w:val="1"/>
      <w:numFmt w:val="bullet"/>
      <w:lvlText w:val=""/>
      <w:lvlJc w:val="left"/>
      <w:pPr>
        <w:ind w:left="3731" w:hanging="360"/>
      </w:pPr>
      <w:rPr>
        <w:rFonts w:ascii="Symbol" w:hAnsi="Symbol" w:hint="default"/>
      </w:rPr>
    </w:lvl>
    <w:lvl w:ilvl="4" w:tplc="E84C3B68" w:tentative="1">
      <w:start w:val="1"/>
      <w:numFmt w:val="bullet"/>
      <w:lvlText w:val="o"/>
      <w:lvlJc w:val="left"/>
      <w:pPr>
        <w:ind w:left="4451" w:hanging="360"/>
      </w:pPr>
      <w:rPr>
        <w:rFonts w:ascii="Courier New" w:hAnsi="Courier New" w:cs="Courier New" w:hint="default"/>
      </w:rPr>
    </w:lvl>
    <w:lvl w:ilvl="5" w:tplc="6B287D1C" w:tentative="1">
      <w:start w:val="1"/>
      <w:numFmt w:val="bullet"/>
      <w:lvlText w:val=""/>
      <w:lvlJc w:val="left"/>
      <w:pPr>
        <w:ind w:left="5171" w:hanging="360"/>
      </w:pPr>
      <w:rPr>
        <w:rFonts w:ascii="Wingdings" w:hAnsi="Wingdings" w:hint="default"/>
      </w:rPr>
    </w:lvl>
    <w:lvl w:ilvl="6" w:tplc="0FCC6E80" w:tentative="1">
      <w:start w:val="1"/>
      <w:numFmt w:val="bullet"/>
      <w:lvlText w:val=""/>
      <w:lvlJc w:val="left"/>
      <w:pPr>
        <w:ind w:left="5891" w:hanging="360"/>
      </w:pPr>
      <w:rPr>
        <w:rFonts w:ascii="Symbol" w:hAnsi="Symbol" w:hint="default"/>
      </w:rPr>
    </w:lvl>
    <w:lvl w:ilvl="7" w:tplc="86366318" w:tentative="1">
      <w:start w:val="1"/>
      <w:numFmt w:val="bullet"/>
      <w:lvlText w:val="o"/>
      <w:lvlJc w:val="left"/>
      <w:pPr>
        <w:ind w:left="6611" w:hanging="360"/>
      </w:pPr>
      <w:rPr>
        <w:rFonts w:ascii="Courier New" w:hAnsi="Courier New" w:cs="Courier New" w:hint="default"/>
      </w:rPr>
    </w:lvl>
    <w:lvl w:ilvl="8" w:tplc="01C666DA" w:tentative="1">
      <w:start w:val="1"/>
      <w:numFmt w:val="bullet"/>
      <w:lvlText w:val=""/>
      <w:lvlJc w:val="left"/>
      <w:pPr>
        <w:ind w:left="7331" w:hanging="360"/>
      </w:pPr>
      <w:rPr>
        <w:rFonts w:ascii="Wingdings" w:hAnsi="Wingdings" w:hint="default"/>
      </w:rPr>
    </w:lvl>
  </w:abstractNum>
  <w:abstractNum w:abstractNumId="29"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2"/>
  </w:num>
  <w:num w:numId="3">
    <w:abstractNumId w:val="25"/>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14"/>
  </w:num>
  <w:num w:numId="13">
    <w:abstractNumId w:val="27"/>
  </w:num>
  <w:num w:numId="14">
    <w:abstractNumId w:val="29"/>
  </w:num>
  <w:num w:numId="15">
    <w:abstractNumId w:val="21"/>
  </w:num>
  <w:num w:numId="16">
    <w:abstractNumId w:val="25"/>
    <w:lvlOverride w:ilvl="0">
      <w:lvl w:ilvl="0">
        <w:start w:val="1"/>
        <w:numFmt w:val="decimal"/>
        <w:pStyle w:val="R1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3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7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5"/>
    <w:lvlOverride w:ilvl="0">
      <w:lvl w:ilvl="0">
        <w:start w:val="1"/>
        <w:numFmt w:val="decimal"/>
        <w:pStyle w:val="R1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3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7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9"/>
  </w:num>
  <w:num w:numId="19">
    <w:abstractNumId w:val="29"/>
  </w:num>
  <w:num w:numId="20">
    <w:abstractNumId w:val="17"/>
  </w:num>
  <w:num w:numId="21">
    <w:abstractNumId w:val="24"/>
  </w:num>
  <w:num w:numId="22">
    <w:abstractNumId w:val="23"/>
  </w:num>
  <w:num w:numId="23">
    <w:abstractNumId w:val="19"/>
  </w:num>
  <w:num w:numId="24">
    <w:abstractNumId w:val="0"/>
  </w:num>
  <w:num w:numId="25">
    <w:abstractNumId w:val="3"/>
  </w:num>
  <w:num w:numId="26">
    <w:abstractNumId w:val="18"/>
  </w:num>
  <w:num w:numId="27">
    <w:abstractNumId w:val="16"/>
  </w:num>
  <w:num w:numId="28">
    <w:abstractNumId w:val="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2"/>
  </w:num>
  <w:num w:numId="32">
    <w:abstractNumId w:val="2"/>
  </w:num>
  <w:num w:numId="33">
    <w:abstractNumId w:val="26"/>
  </w:num>
  <w:num w:numId="34">
    <w:abstractNumId w:val="28"/>
  </w:num>
  <w:num w:numId="35">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B5"/>
    <w:rsid w:val="000B2EFC"/>
    <w:rsid w:val="003B756F"/>
    <w:rsid w:val="004D4A88"/>
    <w:rsid w:val="00550D95"/>
    <w:rsid w:val="00614306"/>
    <w:rsid w:val="006D75CD"/>
    <w:rsid w:val="007408B7"/>
    <w:rsid w:val="00944C54"/>
    <w:rsid w:val="009C49B5"/>
    <w:rsid w:val="00D1014D"/>
    <w:rsid w:val="00D11ED1"/>
    <w:rsid w:val="00E015D1"/>
    <w:rsid w:val="00E10457"/>
    <w:rsid w:val="00F17131"/>
    <w:rsid w:val="00F94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26ADF-737E-4C89-8804-FF34061D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5F23"/>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rsid w:val="00F02DC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0title">
    <w:name w:val="R0 title"/>
    <w:basedOn w:val="Heading1"/>
    <w:link w:val="R0titleChar"/>
    <w:autoRedefine/>
    <w:qFormat/>
    <w:rsid w:val="00B80983"/>
    <w:pPr>
      <w:spacing w:after="240"/>
    </w:pPr>
    <w:rPr>
      <w:rFonts w:ascii="Arial" w:hAnsi="Arial" w:cs="Arial"/>
      <w:b/>
      <w:color w:val="auto"/>
      <w:szCs w:val="24"/>
    </w:rPr>
  </w:style>
  <w:style w:type="paragraph" w:customStyle="1" w:styleId="R1heading">
    <w:name w:val="R1 heading"/>
    <w:basedOn w:val="Subtitle"/>
    <w:link w:val="R1headingChar"/>
    <w:autoRedefine/>
    <w:qFormat/>
    <w:rsid w:val="00951213"/>
    <w:pPr>
      <w:numPr>
        <w:ilvl w:val="0"/>
        <w:numId w:val="3"/>
      </w:numPr>
      <w:spacing w:before="240" w:after="120"/>
    </w:pPr>
    <w:rPr>
      <w:b/>
      <w:color w:val="auto"/>
      <w:spacing w:val="0"/>
      <w:sz w:val="28"/>
    </w:rPr>
  </w:style>
  <w:style w:type="character" w:customStyle="1" w:styleId="Heading1Char">
    <w:name w:val="Heading 1 Char"/>
    <w:basedOn w:val="DefaultParagraphFont"/>
    <w:link w:val="Heading1"/>
    <w:uiPriority w:val="9"/>
    <w:rsid w:val="00F02DC5"/>
    <w:rPr>
      <w:rFonts w:asciiTheme="majorHAnsi" w:eastAsiaTheme="majorEastAsia" w:hAnsiTheme="majorHAnsi" w:cstheme="majorBidi"/>
      <w:color w:val="2E74B5" w:themeColor="accent1" w:themeShade="BF"/>
      <w:sz w:val="32"/>
      <w:szCs w:val="32"/>
    </w:rPr>
  </w:style>
  <w:style w:type="character" w:customStyle="1" w:styleId="R0titleChar">
    <w:name w:val="R0 title Char"/>
    <w:basedOn w:val="Heading1Char"/>
    <w:link w:val="R0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3paragraph"/>
    <w:link w:val="RnumberedparagraphChar"/>
    <w:autoRedefine/>
    <w:rsid w:val="00D87E41"/>
  </w:style>
  <w:style w:type="paragraph" w:styleId="Subtitle">
    <w:name w:val="Subtitle"/>
    <w:basedOn w:val="Normal"/>
    <w:next w:val="Normal"/>
    <w:link w:val="SubtitleChar"/>
    <w:uiPriority w:val="11"/>
    <w:rsid w:val="008872C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1headingChar">
    <w:name w:val="R1 heading Char"/>
    <w:basedOn w:val="SubtitleChar"/>
    <w:link w:val="R1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contextualSpacing/>
    </w:p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D87E41"/>
    <w:rPr>
      <w:rFonts w:ascii="Arial" w:eastAsiaTheme="minorEastAsia" w:hAnsi="Arial" w:cs="Times New Roman"/>
      <w:sz w:val="24"/>
      <w:szCs w:val="24"/>
      <w:lang w:eastAsia="en-GB"/>
    </w:rPr>
  </w:style>
  <w:style w:type="paragraph" w:customStyle="1" w:styleId="R5bullet">
    <w:name w:val="R5 bullet"/>
    <w:basedOn w:val="ListBullet"/>
    <w:link w:val="R5bulletChar"/>
    <w:autoRedefine/>
    <w:qFormat/>
    <w:rsid w:val="00CD7D7B"/>
    <w:pPr>
      <w:numPr>
        <w:numId w:val="15"/>
      </w:numPr>
      <w:spacing w:before="120"/>
      <w:ind w:left="1135" w:hanging="284"/>
    </w:pPr>
    <w:rPr>
      <w:rFonts w:ascii="Arial" w:hAnsi="Arial"/>
      <w:sz w:val="24"/>
    </w:rPr>
  </w:style>
  <w:style w:type="paragraph" w:customStyle="1" w:styleId="R4blankparagraph">
    <w:name w:val="R4 blank paragraph"/>
    <w:basedOn w:val="Rnumberedparagraph"/>
    <w:link w:val="R4blankparagraphChar"/>
    <w:autoRedefine/>
    <w:qFormat/>
    <w:rsid w:val="000D1344"/>
    <w:pPr>
      <w:numPr>
        <w:ilvl w:val="0"/>
        <w:numId w:val="0"/>
      </w:numPr>
    </w:pPr>
  </w:style>
  <w:style w:type="character" w:customStyle="1" w:styleId="R5bulletChar">
    <w:name w:val="R5 bullet Char"/>
    <w:basedOn w:val="RnumberedparagraphChar"/>
    <w:link w:val="R5bullet"/>
    <w:rsid w:val="00CD7D7B"/>
    <w:rPr>
      <w:rFonts w:ascii="Arial" w:eastAsia="Times New Roman" w:hAnsi="Arial" w:cs="Times New Roman"/>
      <w:sz w:val="24"/>
      <w:szCs w:val="24"/>
      <w:lang w:eastAsia="en-GB"/>
    </w:rPr>
  </w:style>
  <w:style w:type="paragraph" w:customStyle="1" w:styleId="R3paragraph">
    <w:name w:val="R3 paragraph"/>
    <w:basedOn w:val="R1heading"/>
    <w:link w:val="R3paragraphChar"/>
    <w:qFormat/>
    <w:rsid w:val="0017397E"/>
    <w:pPr>
      <w:numPr>
        <w:ilvl w:val="1"/>
      </w:numPr>
      <w:spacing w:before="120"/>
      <w:ind w:left="567" w:hanging="567"/>
    </w:pPr>
    <w:rPr>
      <w:b w:val="0"/>
      <w:sz w:val="24"/>
    </w:rPr>
  </w:style>
  <w:style w:type="character" w:customStyle="1" w:styleId="R4blankparagraphChar">
    <w:name w:val="R4 blank paragraph Char"/>
    <w:basedOn w:val="RnumberedparagraphChar"/>
    <w:link w:val="R4blankparagraph"/>
    <w:rsid w:val="000D1344"/>
    <w:rPr>
      <w:rFonts w:ascii="Arial" w:eastAsiaTheme="minorEastAsia" w:hAnsi="Arial" w:cs="Times New Roman"/>
      <w:sz w:val="24"/>
      <w:szCs w:val="24"/>
      <w:lang w:eastAsia="en-GB"/>
    </w:rPr>
  </w:style>
  <w:style w:type="paragraph" w:customStyle="1" w:styleId="Style2">
    <w:name w:val="Style2"/>
    <w:basedOn w:val="R1heading"/>
    <w:next w:val="R3paragraph"/>
    <w:rsid w:val="00A23158"/>
    <w:pPr>
      <w:numPr>
        <w:numId w:val="0"/>
      </w:numPr>
      <w:ind w:left="851" w:hanging="426"/>
    </w:pPr>
    <w:rPr>
      <w:b w:val="0"/>
    </w:rPr>
  </w:style>
  <w:style w:type="paragraph" w:customStyle="1" w:styleId="R7thirdlevelparagraph">
    <w:name w:val="R7 third level paragraph"/>
    <w:basedOn w:val="R3paragraph"/>
    <w:link w:val="R7thirdlevelparagraphChar"/>
    <w:autoRedefine/>
    <w:qFormat/>
    <w:rsid w:val="00FB51F3"/>
    <w:pPr>
      <w:numPr>
        <w:ilvl w:val="2"/>
      </w:numPr>
    </w:pPr>
  </w:style>
  <w:style w:type="character" w:customStyle="1" w:styleId="R3paragraphChar">
    <w:name w:val="R3 paragraph Char"/>
    <w:basedOn w:val="R1headingChar"/>
    <w:link w:val="R3paragraph"/>
    <w:rsid w:val="0017397E"/>
    <w:rPr>
      <w:rFonts w:ascii="Arial" w:eastAsiaTheme="minorEastAsia" w:hAnsi="Arial"/>
      <w:b w:val="0"/>
      <w:color w:val="5A5A5A" w:themeColor="text1" w:themeTint="A5"/>
      <w:spacing w:val="15"/>
      <w:sz w:val="24"/>
    </w:rPr>
  </w:style>
  <w:style w:type="character" w:customStyle="1" w:styleId="R7thirdlevelparagraphChar">
    <w:name w:val="R7 third level paragraph Char"/>
    <w:basedOn w:val="R3paragraphChar"/>
    <w:link w:val="R7thirdlevelparagraph"/>
    <w:rsid w:val="00FB51F3"/>
    <w:rPr>
      <w:rFonts w:ascii="Arial" w:eastAsiaTheme="minorEastAsia" w:hAnsi="Arial"/>
      <w:b w:val="0"/>
      <w:color w:val="5A5A5A" w:themeColor="text1" w:themeTint="A5"/>
      <w:spacing w:val="15"/>
      <w:sz w:val="24"/>
    </w:rPr>
  </w:style>
  <w:style w:type="paragraph" w:customStyle="1" w:styleId="R8quotation">
    <w:name w:val="R8 quotation"/>
    <w:basedOn w:val="R4blankparagraph"/>
    <w:link w:val="R8quotationChar"/>
    <w:qFormat/>
    <w:rsid w:val="000D1344"/>
    <w:pPr>
      <w:ind w:left="567"/>
    </w:pPr>
  </w:style>
  <w:style w:type="paragraph" w:customStyle="1" w:styleId="R2sub-heading">
    <w:name w:val="R2 sub-heading"/>
    <w:basedOn w:val="R3paragraph"/>
    <w:link w:val="R2sub-headingChar"/>
    <w:autoRedefine/>
    <w:qFormat/>
    <w:rsid w:val="00D30A41"/>
    <w:pPr>
      <w:numPr>
        <w:ilvl w:val="0"/>
        <w:numId w:val="0"/>
      </w:numPr>
      <w:ind w:left="567"/>
    </w:pPr>
    <w:rPr>
      <w:b/>
    </w:rPr>
  </w:style>
  <w:style w:type="character" w:customStyle="1" w:styleId="R8quotationChar">
    <w:name w:val="R8 quotation Char"/>
    <w:basedOn w:val="R4blankparagraphChar"/>
    <w:link w:val="R8quotation"/>
    <w:rsid w:val="000D1344"/>
    <w:rPr>
      <w:rFonts w:ascii="Arial" w:eastAsiaTheme="minorEastAsia" w:hAnsi="Arial" w:cs="Times New Roman"/>
      <w:sz w:val="24"/>
      <w:szCs w:val="24"/>
      <w:lang w:eastAsia="en-GB"/>
    </w:rPr>
  </w:style>
  <w:style w:type="character" w:customStyle="1" w:styleId="R2sub-headingChar">
    <w:name w:val="R2 sub-heading Char"/>
    <w:basedOn w:val="R3paragraphChar"/>
    <w:link w:val="R2sub-heading"/>
    <w:rsid w:val="00D30A41"/>
    <w:rPr>
      <w:rFonts w:ascii="Arial" w:eastAsiaTheme="minorEastAsia" w:hAnsi="Arial"/>
      <w:b/>
      <w:color w:val="5A5A5A" w:themeColor="text1" w:themeTint="A5"/>
      <w:spacing w:val="15"/>
      <w:sz w:val="24"/>
    </w:rPr>
  </w:style>
  <w:style w:type="paragraph" w:styleId="Header">
    <w:name w:val="header"/>
    <w:basedOn w:val="Normal"/>
    <w:link w:val="HeaderChar"/>
    <w:uiPriority w:val="99"/>
    <w:unhideWhenUsed/>
    <w:rsid w:val="005A6CDB"/>
    <w:pPr>
      <w:tabs>
        <w:tab w:val="center" w:pos="4513"/>
        <w:tab w:val="right" w:pos="9026"/>
      </w:tabs>
    </w:pPr>
  </w:style>
  <w:style w:type="character" w:customStyle="1" w:styleId="HeaderChar">
    <w:name w:val="Header Char"/>
    <w:basedOn w:val="DefaultParagraphFont"/>
    <w:link w:val="Header"/>
    <w:uiPriority w:val="99"/>
    <w:rsid w:val="005A6CDB"/>
  </w:style>
  <w:style w:type="paragraph" w:styleId="Footer">
    <w:name w:val="footer"/>
    <w:basedOn w:val="Normal"/>
    <w:link w:val="FooterChar"/>
    <w:uiPriority w:val="99"/>
    <w:unhideWhenUsed/>
    <w:rsid w:val="005A6CDB"/>
    <w:pPr>
      <w:tabs>
        <w:tab w:val="center" w:pos="4513"/>
        <w:tab w:val="right" w:pos="9026"/>
      </w:tabs>
    </w:pPr>
  </w:style>
  <w:style w:type="character" w:customStyle="1" w:styleId="FooterChar">
    <w:name w:val="Footer Char"/>
    <w:basedOn w:val="DefaultParagraphFont"/>
    <w:link w:val="Footer"/>
    <w:uiPriority w:val="99"/>
    <w:rsid w:val="005A6CDB"/>
  </w:style>
  <w:style w:type="paragraph" w:styleId="ListParagraph">
    <w:name w:val="List Paragraph"/>
    <w:basedOn w:val="Normal"/>
    <w:link w:val="ListParagraphChar"/>
    <w:uiPriority w:val="34"/>
    <w:qFormat/>
    <w:rsid w:val="00D87E41"/>
    <w:pPr>
      <w:numPr>
        <w:numId w:val="21"/>
      </w:numPr>
      <w:spacing w:before="60" w:after="60"/>
      <w:contextualSpacing/>
    </w:pPr>
  </w:style>
  <w:style w:type="paragraph" w:styleId="ListBullet">
    <w:name w:val="List Bullet"/>
    <w:basedOn w:val="Normal"/>
    <w:rsid w:val="00D87E41"/>
    <w:pPr>
      <w:tabs>
        <w:tab w:val="num" w:pos="360"/>
      </w:tabs>
      <w:spacing w:after="120"/>
      <w:ind w:left="360" w:hanging="360"/>
    </w:pPr>
    <w:rPr>
      <w:rFonts w:ascii="Verdana" w:hAnsi="Verdana"/>
      <w:sz w:val="20"/>
    </w:rPr>
  </w:style>
  <w:style w:type="character" w:customStyle="1" w:styleId="ListParagraphChar">
    <w:name w:val="List Paragraph Char"/>
    <w:link w:val="ListParagraph"/>
    <w:uiPriority w:val="34"/>
    <w:rsid w:val="00D87E41"/>
    <w:rPr>
      <w:rFonts w:ascii="Arial" w:eastAsia="Times New Roman" w:hAnsi="Arial" w:cs="Times New Roman"/>
      <w:sz w:val="24"/>
      <w:szCs w:val="24"/>
      <w:lang w:eastAsia="en-GB"/>
    </w:rPr>
  </w:style>
  <w:style w:type="paragraph" w:customStyle="1" w:styleId="R6sub-bullet">
    <w:name w:val="R6 sub-bullet"/>
    <w:basedOn w:val="ListBullet"/>
    <w:link w:val="R6sub-bulletChar"/>
    <w:qFormat/>
    <w:rsid w:val="00E42063"/>
    <w:pPr>
      <w:numPr>
        <w:numId w:val="23"/>
      </w:numPr>
      <w:ind w:left="1701" w:hanging="283"/>
    </w:pPr>
    <w:rPr>
      <w:rFonts w:ascii="Arial" w:hAnsi="Arial"/>
      <w:sz w:val="24"/>
    </w:rPr>
  </w:style>
  <w:style w:type="paragraph" w:customStyle="1" w:styleId="Style3">
    <w:name w:val="Style3"/>
    <w:basedOn w:val="R5bullet"/>
    <w:next w:val="R6sub-bullet"/>
    <w:rsid w:val="00500D84"/>
  </w:style>
  <w:style w:type="character" w:customStyle="1" w:styleId="R6sub-bulletChar">
    <w:name w:val="R6 sub-bullet Char"/>
    <w:basedOn w:val="R5bulletChar"/>
    <w:link w:val="R6sub-bullet"/>
    <w:rsid w:val="00E42063"/>
    <w:rPr>
      <w:rFonts w:ascii="Arial" w:eastAsia="Times New Roman" w:hAnsi="Arial" w:cs="Times New Roman"/>
      <w:sz w:val="24"/>
      <w:szCs w:val="24"/>
      <w:lang w:eastAsia="en-GB"/>
    </w:rPr>
  </w:style>
  <w:style w:type="table" w:styleId="TableGrid">
    <w:name w:val="Table Grid"/>
    <w:basedOn w:val="TableNormal"/>
    <w:uiPriority w:val="39"/>
    <w:rsid w:val="00E5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2E99"/>
    <w:pPr>
      <w:autoSpaceDE w:val="0"/>
      <w:autoSpaceDN w:val="0"/>
      <w:adjustRightInd w:val="0"/>
      <w:spacing w:after="0" w:line="240" w:lineRule="auto"/>
    </w:pPr>
    <w:rPr>
      <w:rFonts w:ascii="Arial" w:hAnsi="Arial" w:cs="Arial"/>
      <w:color w:val="000000"/>
      <w:sz w:val="24"/>
      <w:szCs w:val="24"/>
    </w:rPr>
  </w:style>
  <w:style w:type="paragraph" w:customStyle="1" w:styleId="Rheading">
    <w:name w:val="R heading"/>
    <w:basedOn w:val="Subtitle"/>
    <w:autoRedefine/>
    <w:qFormat/>
    <w:rsid w:val="000F1B98"/>
    <w:pPr>
      <w:numPr>
        <w:ilvl w:val="0"/>
      </w:numPr>
      <w:spacing w:before="240" w:after="120"/>
      <w:ind w:left="567" w:hanging="567"/>
    </w:pPr>
    <w:rPr>
      <w:b/>
      <w:color w:val="auto"/>
      <w:spacing w:val="0"/>
      <w:sz w:val="28"/>
    </w:rPr>
  </w:style>
  <w:style w:type="paragraph" w:customStyle="1" w:styleId="Rparagraph">
    <w:name w:val="R paragraph"/>
    <w:basedOn w:val="Rheading"/>
    <w:link w:val="RparagraphChar"/>
    <w:qFormat/>
    <w:rsid w:val="000F1B98"/>
    <w:pPr>
      <w:spacing w:before="120"/>
    </w:pPr>
    <w:rPr>
      <w:b w:val="0"/>
      <w:sz w:val="24"/>
    </w:rPr>
  </w:style>
  <w:style w:type="paragraph" w:customStyle="1" w:styleId="Rthirdlevelparagraph">
    <w:name w:val="R third level paragraph"/>
    <w:basedOn w:val="Rparagraph"/>
    <w:autoRedefine/>
    <w:qFormat/>
    <w:rsid w:val="000F1B98"/>
    <w:pPr>
      <w:tabs>
        <w:tab w:val="num" w:pos="360"/>
        <w:tab w:val="num" w:pos="1701"/>
      </w:tabs>
      <w:ind w:left="1701" w:hanging="850"/>
    </w:pPr>
  </w:style>
  <w:style w:type="character" w:customStyle="1" w:styleId="RparagraphChar">
    <w:name w:val="R paragraph Char"/>
    <w:basedOn w:val="DefaultParagraphFont"/>
    <w:link w:val="Rparagraph"/>
    <w:rsid w:val="000F1B98"/>
    <w:rPr>
      <w:rFonts w:ascii="Arial" w:eastAsiaTheme="minorEastAsia" w:hAnsi="Arial" w:cs="Times New Roman"/>
      <w:sz w:val="24"/>
      <w:szCs w:val="24"/>
      <w:lang w:eastAsia="en-GB"/>
    </w:rPr>
  </w:style>
  <w:style w:type="paragraph" w:styleId="BalloonText">
    <w:name w:val="Balloon Text"/>
    <w:basedOn w:val="Normal"/>
    <w:link w:val="BalloonTextChar"/>
    <w:uiPriority w:val="99"/>
    <w:semiHidden/>
    <w:unhideWhenUsed/>
    <w:rsid w:val="008F4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FB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77A8D"/>
    <w:rPr>
      <w:sz w:val="16"/>
      <w:szCs w:val="16"/>
    </w:rPr>
  </w:style>
  <w:style w:type="paragraph" w:styleId="CommentText">
    <w:name w:val="annotation text"/>
    <w:basedOn w:val="Normal"/>
    <w:link w:val="CommentTextChar"/>
    <w:uiPriority w:val="99"/>
    <w:semiHidden/>
    <w:unhideWhenUsed/>
    <w:rsid w:val="00477A8D"/>
    <w:rPr>
      <w:sz w:val="20"/>
      <w:szCs w:val="20"/>
    </w:rPr>
  </w:style>
  <w:style w:type="character" w:customStyle="1" w:styleId="CommentTextChar">
    <w:name w:val="Comment Text Char"/>
    <w:basedOn w:val="DefaultParagraphFont"/>
    <w:link w:val="CommentText"/>
    <w:uiPriority w:val="99"/>
    <w:semiHidden/>
    <w:rsid w:val="00477A8D"/>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77A8D"/>
    <w:rPr>
      <w:b/>
      <w:bCs/>
    </w:rPr>
  </w:style>
  <w:style w:type="character" w:customStyle="1" w:styleId="CommentSubjectChar">
    <w:name w:val="Comment Subject Char"/>
    <w:basedOn w:val="CommentTextChar"/>
    <w:link w:val="CommentSubject"/>
    <w:uiPriority w:val="99"/>
    <w:semiHidden/>
    <w:rsid w:val="00477A8D"/>
    <w:rPr>
      <w:rFonts w:ascii="Arial" w:eastAsia="Times New Roman" w:hAnsi="Arial" w:cs="Times New Roman"/>
      <w:b/>
      <w:bCs/>
      <w:sz w:val="20"/>
      <w:szCs w:val="20"/>
      <w:lang w:eastAsia="en-GB"/>
    </w:rPr>
  </w:style>
  <w:style w:type="paragraph" w:styleId="FootnoteText">
    <w:name w:val="footnote text"/>
    <w:basedOn w:val="Normal"/>
    <w:link w:val="FootnoteTextChar"/>
    <w:uiPriority w:val="99"/>
    <w:semiHidden/>
    <w:unhideWhenUsed/>
    <w:rsid w:val="00C10D5E"/>
    <w:rPr>
      <w:sz w:val="20"/>
      <w:szCs w:val="20"/>
    </w:rPr>
  </w:style>
  <w:style w:type="character" w:customStyle="1" w:styleId="FootnoteTextChar">
    <w:name w:val="Footnote Text Char"/>
    <w:basedOn w:val="DefaultParagraphFont"/>
    <w:link w:val="FootnoteText"/>
    <w:uiPriority w:val="99"/>
    <w:semiHidden/>
    <w:rsid w:val="00C10D5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10D5E"/>
    <w:rPr>
      <w:vertAlign w:val="superscript"/>
    </w:rPr>
  </w:style>
  <w:style w:type="character" w:styleId="PlaceholderText">
    <w:name w:val="Placeholder Text"/>
    <w:basedOn w:val="DefaultParagraphFont"/>
    <w:uiPriority w:val="99"/>
    <w:semiHidden/>
    <w:rsid w:val="00D449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5384</Words>
  <Characters>30690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Jones, Debra</cp:lastModifiedBy>
  <cp:revision>13</cp:revision>
  <cp:lastPrinted>2019-05-31T08:34:00Z</cp:lastPrinted>
  <dcterms:created xsi:type="dcterms:W3CDTF">2020-07-02T14:42:00Z</dcterms:created>
  <dcterms:modified xsi:type="dcterms:W3CDTF">2020-07-13T10:38:00Z</dcterms:modified>
</cp:coreProperties>
</file>